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5E2963" w14:textId="3B5177E2" w:rsidR="009E7EF6" w:rsidRPr="00D51090" w:rsidRDefault="009E7EF6" w:rsidP="000E06E1">
      <w:pPr>
        <w:pStyle w:val="Heading1"/>
        <w:spacing w:before="0" w:after="0"/>
        <w:ind w:right="1985"/>
        <w:contextualSpacing w:val="0"/>
        <w:rPr>
          <w:rFonts w:asciiTheme="minorHAnsi" w:eastAsiaTheme="minorEastAsia" w:hAnsiTheme="minorHAnsi" w:cstheme="minorBidi"/>
          <w:iCs w:val="0"/>
          <w:caps w:val="0"/>
          <w:color w:val="414042" w:themeColor="text1"/>
          <w:sz w:val="32"/>
          <w:szCs w:val="32"/>
          <w:lang w:val="en-AU" w:bidi="ar-SA"/>
        </w:rPr>
      </w:pPr>
      <w:bookmarkStart w:id="0" w:name="InvestmentsCurrentMarketView"/>
      <w:r w:rsidRPr="00D51090">
        <w:rPr>
          <w:rFonts w:asciiTheme="minorHAnsi" w:eastAsiaTheme="minorEastAsia" w:hAnsiTheme="minorHAnsi" w:cstheme="minorBidi"/>
          <w:iCs w:val="0"/>
          <w:caps w:val="0"/>
          <w:color w:val="414042" w:themeColor="text1"/>
          <w:sz w:val="32"/>
          <w:szCs w:val="32"/>
          <w:lang w:val="en-AU" w:bidi="ar-SA"/>
        </w:rPr>
        <w:t>Current Market View</w:t>
      </w:r>
      <w:r w:rsidR="00670764" w:rsidRPr="00D51090">
        <w:rPr>
          <w:rFonts w:asciiTheme="minorHAnsi" w:eastAsiaTheme="minorEastAsia" w:hAnsiTheme="minorHAnsi" w:cstheme="minorBidi"/>
          <w:iCs w:val="0"/>
          <w:caps w:val="0"/>
          <w:color w:val="414042" w:themeColor="text1"/>
          <w:sz w:val="32"/>
          <w:szCs w:val="32"/>
          <w:lang w:val="en-AU" w:bidi="ar-SA"/>
        </w:rPr>
        <w:t xml:space="preserve"> – </w:t>
      </w:r>
      <w:r w:rsidR="0074519A">
        <w:rPr>
          <w:rFonts w:asciiTheme="minorHAnsi" w:eastAsiaTheme="minorEastAsia" w:hAnsiTheme="minorHAnsi" w:cstheme="minorBidi"/>
          <w:iCs w:val="0"/>
          <w:caps w:val="0"/>
          <w:color w:val="414042" w:themeColor="text1"/>
          <w:sz w:val="32"/>
          <w:szCs w:val="32"/>
          <w:lang w:val="en-AU" w:bidi="ar-SA"/>
        </w:rPr>
        <w:t>June</w:t>
      </w:r>
      <w:r w:rsidR="00670764" w:rsidRPr="00D51090">
        <w:rPr>
          <w:rFonts w:asciiTheme="minorHAnsi" w:eastAsiaTheme="minorEastAsia" w:hAnsiTheme="minorHAnsi" w:cstheme="minorBidi"/>
          <w:iCs w:val="0"/>
          <w:caps w:val="0"/>
          <w:color w:val="414042" w:themeColor="text1"/>
          <w:sz w:val="32"/>
          <w:szCs w:val="32"/>
          <w:lang w:val="en-AU" w:bidi="ar-SA"/>
        </w:rPr>
        <w:t xml:space="preserve"> 202</w:t>
      </w:r>
      <w:r w:rsidR="008129CC">
        <w:rPr>
          <w:rFonts w:asciiTheme="minorHAnsi" w:eastAsiaTheme="minorEastAsia" w:hAnsiTheme="minorHAnsi" w:cstheme="minorBidi"/>
          <w:iCs w:val="0"/>
          <w:caps w:val="0"/>
          <w:color w:val="414042" w:themeColor="text1"/>
          <w:sz w:val="32"/>
          <w:szCs w:val="32"/>
          <w:lang w:val="en-AU" w:bidi="ar-SA"/>
        </w:rPr>
        <w:t>6</w:t>
      </w:r>
    </w:p>
    <w:p w14:paraId="69DA8B77" w14:textId="72194298" w:rsidR="001C4983" w:rsidRPr="00A75BED" w:rsidRDefault="001C4983" w:rsidP="00912096">
      <w:pPr>
        <w:rPr>
          <w:rFonts w:asciiTheme="majorHAnsi" w:hAnsiTheme="majorHAnsi" w:cstheme="majorHAnsi"/>
          <w:b/>
          <w:bCs/>
          <w:sz w:val="24"/>
          <w:szCs w:val="24"/>
        </w:rPr>
      </w:pPr>
      <w:r w:rsidRPr="00A75BED">
        <w:rPr>
          <w:rFonts w:asciiTheme="majorHAnsi" w:hAnsiTheme="majorHAnsi" w:cstheme="majorHAnsi"/>
          <w:b/>
          <w:bCs/>
          <w:sz w:val="24"/>
          <w:szCs w:val="24"/>
        </w:rPr>
        <w:t>Investment Markets</w:t>
      </w:r>
    </w:p>
    <w:p w14:paraId="2B5D34C2" w14:textId="12EA1B96" w:rsidR="00502D7A" w:rsidRPr="00A75BED" w:rsidRDefault="00502D7A" w:rsidP="00F40119">
      <w:pPr>
        <w:rPr>
          <w:rFonts w:asciiTheme="majorHAnsi" w:hAnsiTheme="majorHAnsi" w:cstheme="majorHAnsi"/>
          <w:b/>
          <w:bCs/>
        </w:rPr>
      </w:pPr>
      <w:r w:rsidRPr="00A75BED">
        <w:rPr>
          <w:rFonts w:asciiTheme="majorHAnsi" w:hAnsiTheme="majorHAnsi" w:cstheme="majorHAnsi"/>
          <w:b/>
          <w:bCs/>
        </w:rPr>
        <w:t>Global Markets</w:t>
      </w:r>
    </w:p>
    <w:p w14:paraId="11BC9046" w14:textId="349A63BF" w:rsidR="006C4B84" w:rsidRPr="00A75BED" w:rsidRDefault="006C4B84" w:rsidP="00C82114">
      <w:pPr>
        <w:jc w:val="both"/>
        <w:rPr>
          <w:rFonts w:ascii="Calibri" w:hAnsi="Calibri" w:cs="Calibri"/>
          <w:color w:val="222222"/>
          <w:shd w:val="clear" w:color="auto" w:fill="FFFFFF"/>
        </w:rPr>
      </w:pPr>
      <w:r w:rsidRPr="00A75BED">
        <w:rPr>
          <w:rFonts w:ascii="Calibri" w:hAnsi="Calibri" w:cs="Calibri"/>
          <w:color w:val="222222"/>
          <w:shd w:val="clear" w:color="auto" w:fill="FFFFFF"/>
        </w:rPr>
        <w:t>Global equities in June 2026 were essentially flat, with headline indices masking significant rotation beneath the surface. Markets were shaped by a sharp collapse in oil prices, a cooling of AI</w:t>
      </w:r>
      <w:r w:rsidRPr="00A75BED">
        <w:rPr>
          <w:rFonts w:ascii="Calibri" w:hAnsi="Calibri" w:cs="Calibri"/>
          <w:color w:val="222222"/>
          <w:shd w:val="clear" w:color="auto" w:fill="FFFFFF"/>
        </w:rPr>
        <w:noBreakHyphen/>
        <w:t xml:space="preserve">related exuberance, particularly around </w:t>
      </w:r>
      <w:proofErr w:type="spellStart"/>
      <w:r w:rsidRPr="00A75BED">
        <w:rPr>
          <w:rFonts w:ascii="Calibri" w:hAnsi="Calibri" w:cs="Calibri"/>
          <w:color w:val="222222"/>
          <w:shd w:val="clear" w:color="auto" w:fill="FFFFFF"/>
        </w:rPr>
        <w:t>hyperscaler</w:t>
      </w:r>
      <w:proofErr w:type="spellEnd"/>
      <w:r w:rsidRPr="00A75BED">
        <w:rPr>
          <w:rFonts w:ascii="Calibri" w:hAnsi="Calibri" w:cs="Calibri"/>
          <w:color w:val="222222"/>
          <w:shd w:val="clear" w:color="auto" w:fill="FFFFFF"/>
        </w:rPr>
        <w:t xml:space="preserve"> spending and a more hawkish stance from major central banks that recalibrated expectations for both inflation and growth. Semiconductor strength contrasted with weakness in commodity</w:t>
      </w:r>
      <w:r w:rsidRPr="00A75BED">
        <w:rPr>
          <w:rFonts w:ascii="Calibri" w:hAnsi="Calibri" w:cs="Calibri"/>
          <w:color w:val="222222"/>
          <w:shd w:val="clear" w:color="auto" w:fill="FFFFFF"/>
        </w:rPr>
        <w:noBreakHyphen/>
        <w:t>linked sectors, while investors reassessed the sustainability of recent tech</w:t>
      </w:r>
      <w:r w:rsidRPr="00A75BED">
        <w:rPr>
          <w:rFonts w:ascii="Calibri" w:hAnsi="Calibri" w:cs="Calibri"/>
          <w:color w:val="222222"/>
          <w:shd w:val="clear" w:color="auto" w:fill="FFFFFF"/>
        </w:rPr>
        <w:noBreakHyphen/>
        <w:t>driven market leadership. Overall, June functioned as a transition month defined by volatility, shifting narratives, and a broad rebalancing of risk appetite.</w:t>
      </w:r>
    </w:p>
    <w:p w14:paraId="7D8034E3" w14:textId="0499ED91" w:rsidR="00C82114" w:rsidRPr="00A75BED" w:rsidRDefault="00C82114" w:rsidP="00C82114">
      <w:pPr>
        <w:jc w:val="both"/>
        <w:rPr>
          <w:rFonts w:ascii="Calibri" w:hAnsi="Calibri" w:cs="Calibri"/>
          <w:color w:val="222222"/>
          <w:shd w:val="clear" w:color="auto" w:fill="FFFFFF"/>
        </w:rPr>
      </w:pPr>
      <w:r w:rsidRPr="00A75BED">
        <w:rPr>
          <w:rFonts w:ascii="Calibri" w:hAnsi="Calibri" w:cs="Calibri"/>
          <w:color w:val="222222"/>
          <w:shd w:val="clear" w:color="auto" w:fill="FFFFFF"/>
        </w:rPr>
        <w:t xml:space="preserve">In fixed income, global </w:t>
      </w:r>
      <w:r w:rsidR="003B4483" w:rsidRPr="00A75BED">
        <w:rPr>
          <w:rFonts w:ascii="Calibri" w:hAnsi="Calibri" w:cs="Calibri"/>
          <w:color w:val="222222"/>
          <w:shd w:val="clear" w:color="auto" w:fill="FFFFFF"/>
        </w:rPr>
        <w:t>bond</w:t>
      </w:r>
      <w:r w:rsidRPr="00A75BED">
        <w:rPr>
          <w:rFonts w:ascii="Calibri" w:hAnsi="Calibri" w:cs="Calibri"/>
          <w:color w:val="222222"/>
          <w:shd w:val="clear" w:color="auto" w:fill="FFFFFF"/>
        </w:rPr>
        <w:t xml:space="preserve"> yields generally drifted lower as the oil</w:t>
      </w:r>
      <w:r w:rsidRPr="00A75BED">
        <w:rPr>
          <w:rFonts w:ascii="Calibri" w:hAnsi="Calibri" w:cs="Calibri"/>
          <w:color w:val="222222"/>
          <w:shd w:val="clear" w:color="auto" w:fill="FFFFFF"/>
        </w:rPr>
        <w:noBreakHyphen/>
        <w:t>price shock fed disinflation expectations</w:t>
      </w:r>
      <w:r w:rsidR="002767DA">
        <w:rPr>
          <w:rFonts w:ascii="Calibri" w:hAnsi="Calibri" w:cs="Calibri"/>
          <w:color w:val="222222"/>
          <w:shd w:val="clear" w:color="auto" w:fill="FFFFFF"/>
        </w:rPr>
        <w:t>. Still, the</w:t>
      </w:r>
      <w:r w:rsidRPr="00A75BED">
        <w:rPr>
          <w:rFonts w:ascii="Calibri" w:hAnsi="Calibri" w:cs="Calibri"/>
          <w:color w:val="222222"/>
          <w:shd w:val="clear" w:color="auto" w:fill="FFFFFF"/>
        </w:rPr>
        <w:t xml:space="preserve"> U.S. front end moved higher after the Federal Reserve removed its easing bias. This divergence created a mixed backdrop for duration assets</w:t>
      </w:r>
      <w:r w:rsidR="003B4483" w:rsidRPr="00A75BED">
        <w:rPr>
          <w:rFonts w:ascii="Calibri" w:hAnsi="Calibri" w:cs="Calibri"/>
          <w:color w:val="222222"/>
          <w:shd w:val="clear" w:color="auto" w:fill="FFFFFF"/>
        </w:rPr>
        <w:t>, with long-end bonds benefiting</w:t>
      </w:r>
      <w:r w:rsidRPr="00A75BED">
        <w:rPr>
          <w:rFonts w:ascii="Calibri" w:hAnsi="Calibri" w:cs="Calibri"/>
          <w:color w:val="222222"/>
          <w:shd w:val="clear" w:color="auto" w:fill="FFFFFF"/>
        </w:rPr>
        <w:t xml:space="preserve"> from softer inflation signals</w:t>
      </w:r>
      <w:r w:rsidR="002767DA">
        <w:rPr>
          <w:rFonts w:ascii="Calibri" w:hAnsi="Calibri" w:cs="Calibri"/>
          <w:color w:val="222222"/>
          <w:shd w:val="clear" w:color="auto" w:fill="FFFFFF"/>
        </w:rPr>
        <w:t>. At the same time,</w:t>
      </w:r>
      <w:r w:rsidRPr="00A75BED">
        <w:rPr>
          <w:rFonts w:ascii="Calibri" w:hAnsi="Calibri" w:cs="Calibri"/>
          <w:color w:val="222222"/>
          <w:shd w:val="clear" w:color="auto" w:fill="FFFFFF"/>
        </w:rPr>
        <w:t xml:space="preserve"> short</w:t>
      </w:r>
      <w:r w:rsidRPr="00A75BED">
        <w:rPr>
          <w:rFonts w:ascii="Calibri" w:hAnsi="Calibri" w:cs="Calibri"/>
          <w:color w:val="222222"/>
          <w:shd w:val="clear" w:color="auto" w:fill="FFFFFF"/>
        </w:rPr>
        <w:noBreakHyphen/>
        <w:t>dated U.S. yields tightened financial conditions and weighed on growth</w:t>
      </w:r>
      <w:r w:rsidRPr="00A75BED">
        <w:rPr>
          <w:rFonts w:ascii="Calibri" w:hAnsi="Calibri" w:cs="Calibri"/>
          <w:color w:val="222222"/>
          <w:shd w:val="clear" w:color="auto" w:fill="FFFFFF"/>
        </w:rPr>
        <w:noBreakHyphen/>
        <w:t xml:space="preserve">sensitive equities. Credit markets were </w:t>
      </w:r>
      <w:r w:rsidR="003B4483" w:rsidRPr="00A75BED">
        <w:rPr>
          <w:rFonts w:ascii="Calibri" w:hAnsi="Calibri" w:cs="Calibri"/>
          <w:color w:val="222222"/>
          <w:shd w:val="clear" w:color="auto" w:fill="FFFFFF"/>
        </w:rPr>
        <w:t xml:space="preserve">largely </w:t>
      </w:r>
      <w:r w:rsidRPr="00A75BED">
        <w:rPr>
          <w:rFonts w:ascii="Calibri" w:hAnsi="Calibri" w:cs="Calibri"/>
          <w:color w:val="222222"/>
          <w:shd w:val="clear" w:color="auto" w:fill="FFFFFF"/>
        </w:rPr>
        <w:t>stable, supported by strong corporate balance sheets and still</w:t>
      </w:r>
      <w:r w:rsidRPr="00A75BED">
        <w:rPr>
          <w:rFonts w:ascii="Calibri" w:hAnsi="Calibri" w:cs="Calibri"/>
          <w:color w:val="222222"/>
          <w:shd w:val="clear" w:color="auto" w:fill="FFFFFF"/>
        </w:rPr>
        <w:noBreakHyphen/>
        <w:t>solid demand for yield, though spreads widened modestly in commodity</w:t>
      </w:r>
      <w:r w:rsidRPr="00A75BED">
        <w:rPr>
          <w:rFonts w:ascii="Calibri" w:hAnsi="Calibri" w:cs="Calibri"/>
          <w:color w:val="222222"/>
          <w:shd w:val="clear" w:color="auto" w:fill="FFFFFF"/>
        </w:rPr>
        <w:noBreakHyphen/>
        <w:t>exposed sectors. The overall fixed</w:t>
      </w:r>
      <w:r w:rsidRPr="00A75BED">
        <w:rPr>
          <w:rFonts w:ascii="Calibri" w:hAnsi="Calibri" w:cs="Calibri"/>
          <w:color w:val="222222"/>
          <w:shd w:val="clear" w:color="auto" w:fill="FFFFFF"/>
        </w:rPr>
        <w:noBreakHyphen/>
        <w:t xml:space="preserve">income environment reflected a market adjusting to lower inflation </w:t>
      </w:r>
      <w:r w:rsidR="003B4483" w:rsidRPr="00A75BED">
        <w:rPr>
          <w:rFonts w:ascii="Calibri" w:hAnsi="Calibri" w:cs="Calibri"/>
          <w:color w:val="222222"/>
          <w:shd w:val="clear" w:color="auto" w:fill="FFFFFF"/>
        </w:rPr>
        <w:t xml:space="preserve">and firmer policy stances, </w:t>
      </w:r>
      <w:r w:rsidRPr="00A75BED">
        <w:rPr>
          <w:rFonts w:ascii="Calibri" w:hAnsi="Calibri" w:cs="Calibri"/>
          <w:color w:val="222222"/>
          <w:shd w:val="clear" w:color="auto" w:fill="FFFFFF"/>
        </w:rPr>
        <w:t>an unusual combination that kept rate volatility elevated.</w:t>
      </w:r>
    </w:p>
    <w:p w14:paraId="374F6898" w14:textId="5D9BA6DA" w:rsidR="00670AB6" w:rsidRPr="00A75BED" w:rsidRDefault="000F133D" w:rsidP="007152C2">
      <w:pPr>
        <w:jc w:val="both"/>
        <w:rPr>
          <w:rFonts w:asciiTheme="majorHAnsi" w:hAnsiTheme="majorHAnsi" w:cstheme="majorHAnsi"/>
          <w:b/>
          <w:bCs/>
          <w:color w:val="222222"/>
          <w:shd w:val="clear" w:color="auto" w:fill="FFFFFF"/>
        </w:rPr>
      </w:pPr>
      <w:r w:rsidRPr="00A75BED">
        <w:rPr>
          <w:rFonts w:asciiTheme="majorHAnsi" w:hAnsiTheme="majorHAnsi" w:cstheme="majorHAnsi"/>
          <w:b/>
          <w:bCs/>
          <w:noProof/>
          <w:color w:val="222222"/>
          <w:shd w:val="clear" w:color="auto" w:fill="FFFFFF"/>
        </w:rPr>
        <w:drawing>
          <wp:inline distT="0" distB="0" distL="0" distR="0" wp14:anchorId="375CD894" wp14:editId="16B2ADCC">
            <wp:extent cx="5731510" cy="1129665"/>
            <wp:effectExtent l="0" t="0" r="2540" b="0"/>
            <wp:docPr id="8" name="Picture 7">
              <a:extLst xmlns:a="http://schemas.openxmlformats.org/drawingml/2006/main">
                <a:ext uri="{FF2B5EF4-FFF2-40B4-BE49-F238E27FC236}">
                  <a16:creationId xmlns:a16="http://schemas.microsoft.com/office/drawing/2014/main" id="{45D8A7F9-9259-C43C-2AFC-75B51EFCF5D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a:extLst>
                        <a:ext uri="{FF2B5EF4-FFF2-40B4-BE49-F238E27FC236}">
                          <a16:creationId xmlns:a16="http://schemas.microsoft.com/office/drawing/2014/main" id="{45D8A7F9-9259-C43C-2AFC-75B51EFCF5DF}"/>
                        </a:ext>
                      </a:extLst>
                    </pic:cNvPr>
                    <pic:cNvPicPr>
                      <a:picLocks noChangeAspect="1"/>
                    </pic:cNvPicPr>
                  </pic:nvPicPr>
                  <pic:blipFill>
                    <a:blip r:embed="rId11"/>
                    <a:stretch>
                      <a:fillRect/>
                    </a:stretch>
                  </pic:blipFill>
                  <pic:spPr>
                    <a:xfrm>
                      <a:off x="0" y="0"/>
                      <a:ext cx="5731510" cy="1129665"/>
                    </a:xfrm>
                    <a:prstGeom prst="rect">
                      <a:avLst/>
                    </a:prstGeom>
                  </pic:spPr>
                </pic:pic>
              </a:graphicData>
            </a:graphic>
          </wp:inline>
        </w:drawing>
      </w:r>
    </w:p>
    <w:p w14:paraId="246B1CF6" w14:textId="0D6B8A08" w:rsidR="00001072" w:rsidRPr="00A75BED" w:rsidRDefault="00B76A9F" w:rsidP="007152C2">
      <w:pPr>
        <w:jc w:val="both"/>
        <w:rPr>
          <w:rFonts w:cstheme="minorHAnsi"/>
          <w:b/>
          <w:bCs/>
          <w:color w:val="222222"/>
          <w:shd w:val="clear" w:color="auto" w:fill="FFFFFF"/>
        </w:rPr>
      </w:pPr>
      <w:r w:rsidRPr="00A75BED">
        <w:rPr>
          <w:rFonts w:cstheme="minorHAnsi"/>
          <w:b/>
          <w:bCs/>
          <w:color w:val="222222"/>
          <w:shd w:val="clear" w:color="auto" w:fill="FFFFFF"/>
        </w:rPr>
        <w:t xml:space="preserve">Global </w:t>
      </w:r>
      <w:r w:rsidR="00001072" w:rsidRPr="00A75BED">
        <w:rPr>
          <w:rFonts w:cstheme="minorHAnsi"/>
          <w:b/>
          <w:bCs/>
          <w:color w:val="222222"/>
          <w:shd w:val="clear" w:color="auto" w:fill="FFFFFF"/>
        </w:rPr>
        <w:t>Share Markets</w:t>
      </w:r>
    </w:p>
    <w:p w14:paraId="39738D54" w14:textId="4DD4C24D" w:rsidR="00C86AF5" w:rsidRPr="00A75BED" w:rsidRDefault="00C86AF5" w:rsidP="006D38FA">
      <w:pPr>
        <w:jc w:val="both"/>
        <w:rPr>
          <w:rFonts w:cstheme="minorHAnsi"/>
          <w:color w:val="222222"/>
          <w:shd w:val="clear" w:color="auto" w:fill="FFFFFF"/>
        </w:rPr>
      </w:pPr>
      <w:r w:rsidRPr="00A75BED">
        <w:rPr>
          <w:rFonts w:cstheme="minorHAnsi"/>
          <w:color w:val="222222"/>
          <w:shd w:val="clear" w:color="auto" w:fill="FFFFFF"/>
        </w:rPr>
        <w:t xml:space="preserve">Global equities in June 2026 were broadly flat to slightly negative, with the World Index slipping about -0.7%. </w:t>
      </w:r>
      <w:r w:rsidR="00E252CC" w:rsidRPr="00A75BED">
        <w:rPr>
          <w:rFonts w:cstheme="minorHAnsi"/>
          <w:color w:val="222222"/>
          <w:shd w:val="clear" w:color="auto" w:fill="FFFFFF"/>
        </w:rPr>
        <w:t xml:space="preserve">This was due to </w:t>
      </w:r>
      <w:r w:rsidR="00426861" w:rsidRPr="00A75BED">
        <w:rPr>
          <w:rFonts w:cstheme="minorHAnsi"/>
          <w:color w:val="222222"/>
          <w:shd w:val="clear" w:color="auto" w:fill="FFFFFF"/>
        </w:rPr>
        <w:t xml:space="preserve">the </w:t>
      </w:r>
      <w:proofErr w:type="spellStart"/>
      <w:r w:rsidR="00426861" w:rsidRPr="00A75BED">
        <w:rPr>
          <w:rFonts w:cstheme="minorHAnsi"/>
          <w:color w:val="222222"/>
          <w:shd w:val="clear" w:color="auto" w:fill="FFFFFF"/>
        </w:rPr>
        <w:t>hyperscalers</w:t>
      </w:r>
      <w:proofErr w:type="spellEnd"/>
      <w:r w:rsidR="00426861" w:rsidRPr="00A75BED">
        <w:rPr>
          <w:rFonts w:cstheme="minorHAnsi"/>
          <w:color w:val="222222"/>
          <w:shd w:val="clear" w:color="auto" w:fill="FFFFFF"/>
        </w:rPr>
        <w:t xml:space="preserve"> (Amazon, Alphabet, and Microsoft) showing share price weakness following questions about the </w:t>
      </w:r>
      <w:r w:rsidR="00C332BE" w:rsidRPr="00A75BED">
        <w:rPr>
          <w:rFonts w:cstheme="minorHAnsi"/>
          <w:color w:val="222222"/>
          <w:shd w:val="clear" w:color="auto" w:fill="FFFFFF"/>
        </w:rPr>
        <w:t xml:space="preserve">near-term return on massive </w:t>
      </w:r>
      <w:r w:rsidR="009576AD" w:rsidRPr="00A75BED">
        <w:rPr>
          <w:rFonts w:cstheme="minorHAnsi"/>
          <w:color w:val="222222"/>
          <w:shd w:val="clear" w:color="auto" w:fill="FFFFFF"/>
        </w:rPr>
        <w:t>AI infrastructure spending</w:t>
      </w:r>
      <w:r w:rsidR="00C43106" w:rsidRPr="00A75BED">
        <w:rPr>
          <w:rFonts w:cstheme="minorHAnsi"/>
          <w:color w:val="222222"/>
          <w:shd w:val="clear" w:color="auto" w:fill="FFFFFF"/>
        </w:rPr>
        <w:t>,</w:t>
      </w:r>
      <w:r w:rsidR="009576AD" w:rsidRPr="00A75BED">
        <w:rPr>
          <w:rFonts w:cstheme="minorHAnsi"/>
          <w:color w:val="222222"/>
          <w:shd w:val="clear" w:color="auto" w:fill="FFFFFF"/>
        </w:rPr>
        <w:t xml:space="preserve"> which is currently being </w:t>
      </w:r>
      <w:proofErr w:type="spellStart"/>
      <w:r w:rsidR="009576AD" w:rsidRPr="00A75BED">
        <w:rPr>
          <w:rFonts w:cstheme="minorHAnsi"/>
          <w:color w:val="222222"/>
          <w:shd w:val="clear" w:color="auto" w:fill="FFFFFF"/>
        </w:rPr>
        <w:t>fueled</w:t>
      </w:r>
      <w:proofErr w:type="spellEnd"/>
      <w:r w:rsidR="009576AD" w:rsidRPr="00A75BED">
        <w:rPr>
          <w:rFonts w:cstheme="minorHAnsi"/>
          <w:color w:val="222222"/>
          <w:shd w:val="clear" w:color="auto" w:fill="FFFFFF"/>
        </w:rPr>
        <w:t xml:space="preserve"> by </w:t>
      </w:r>
      <w:r w:rsidR="00C43106" w:rsidRPr="00A75BED">
        <w:rPr>
          <w:rFonts w:cstheme="minorHAnsi"/>
          <w:color w:val="222222"/>
          <w:shd w:val="clear" w:color="auto" w:fill="FFFFFF"/>
        </w:rPr>
        <w:t>large amounts of private debt.</w:t>
      </w:r>
      <w:r w:rsidR="00B4088D" w:rsidRPr="00A75BED">
        <w:rPr>
          <w:rFonts w:cstheme="minorHAnsi"/>
          <w:color w:val="222222"/>
          <w:shd w:val="clear" w:color="auto" w:fill="FFFFFF"/>
        </w:rPr>
        <w:t xml:space="preserve"> The month also featured historic corporate actions, including Alphabet’s $85B equity offering and the SpaceX IPO at a valuation of </w:t>
      </w:r>
      <w:r w:rsidR="00CB500C" w:rsidRPr="00A75BED">
        <w:rPr>
          <w:rFonts w:cstheme="minorHAnsi"/>
          <w:color w:val="222222"/>
          <w:shd w:val="clear" w:color="auto" w:fill="FFFFFF"/>
        </w:rPr>
        <w:t>US</w:t>
      </w:r>
      <w:r w:rsidR="00B4088D" w:rsidRPr="00A75BED">
        <w:rPr>
          <w:rFonts w:cstheme="minorHAnsi"/>
          <w:color w:val="222222"/>
          <w:shd w:val="clear" w:color="auto" w:fill="FFFFFF"/>
        </w:rPr>
        <w:t>$</w:t>
      </w:r>
      <w:r w:rsidR="00CB500C" w:rsidRPr="00A75BED">
        <w:rPr>
          <w:rFonts w:cstheme="minorHAnsi"/>
          <w:color w:val="222222"/>
          <w:shd w:val="clear" w:color="auto" w:fill="FFFFFF"/>
        </w:rPr>
        <w:t>1.78</w:t>
      </w:r>
      <w:r w:rsidR="00B4088D" w:rsidRPr="00A75BED">
        <w:rPr>
          <w:rFonts w:cstheme="minorHAnsi"/>
          <w:color w:val="222222"/>
          <w:shd w:val="clear" w:color="auto" w:fill="FFFFFF"/>
        </w:rPr>
        <w:t>T, both of which amplified volatility</w:t>
      </w:r>
      <w:r w:rsidR="00CB500C" w:rsidRPr="00A75BED">
        <w:rPr>
          <w:rFonts w:cstheme="minorHAnsi"/>
          <w:color w:val="222222"/>
          <w:shd w:val="clear" w:color="auto" w:fill="FFFFFF"/>
        </w:rPr>
        <w:t>.</w:t>
      </w:r>
    </w:p>
    <w:p w14:paraId="7AA6C0A0" w14:textId="104184D3" w:rsidR="006D38FA" w:rsidRPr="00A75BED" w:rsidRDefault="006D38FA" w:rsidP="006D38FA">
      <w:pPr>
        <w:jc w:val="both"/>
        <w:rPr>
          <w:rFonts w:cstheme="minorHAnsi"/>
          <w:color w:val="222222"/>
          <w:shd w:val="clear" w:color="auto" w:fill="FFFFFF"/>
        </w:rPr>
      </w:pPr>
      <w:r w:rsidRPr="00A75BED">
        <w:rPr>
          <w:rFonts w:cstheme="minorHAnsi"/>
          <w:color w:val="222222"/>
          <w:shd w:val="clear" w:color="auto" w:fill="FFFFFF"/>
        </w:rPr>
        <w:t>Regionally, performance diverged sharply. The United States saw modest declines as mega</w:t>
      </w:r>
      <w:r w:rsidRPr="00A75BED">
        <w:rPr>
          <w:rFonts w:cstheme="minorHAnsi"/>
          <w:color w:val="222222"/>
          <w:shd w:val="clear" w:color="auto" w:fill="FFFFFF"/>
        </w:rPr>
        <w:noBreakHyphen/>
        <w:t>cap tech lost more than $2T in market value, even though semiconductors and memory stocks posted double</w:t>
      </w:r>
      <w:r w:rsidRPr="00A75BED">
        <w:rPr>
          <w:rFonts w:cstheme="minorHAnsi"/>
          <w:color w:val="222222"/>
          <w:shd w:val="clear" w:color="auto" w:fill="FFFFFF"/>
        </w:rPr>
        <w:noBreakHyphen/>
        <w:t xml:space="preserve">digit gains. Europe outperformed thanks to lower energy costs and resilient earnings momentum. Japan delivered strong gains driven by semiconductor strength and yen weakness, </w:t>
      </w:r>
      <w:r w:rsidRPr="00A75BED">
        <w:rPr>
          <w:rFonts w:cstheme="minorHAnsi"/>
          <w:color w:val="222222"/>
          <w:shd w:val="clear" w:color="auto" w:fill="FFFFFF"/>
        </w:rPr>
        <w:lastRenderedPageBreak/>
        <w:t xml:space="preserve">though volatility was extreme. The UK eked out slight gains but was held back by commodity sectors and political uncertainty. Australia posted modest </w:t>
      </w:r>
      <w:r w:rsidR="002767DA">
        <w:rPr>
          <w:rFonts w:cstheme="minorHAnsi"/>
          <w:color w:val="222222"/>
          <w:shd w:val="clear" w:color="auto" w:fill="FFFFFF"/>
        </w:rPr>
        <w:t>gains, with industrials, healthcare, and consumer stocks outperforming,</w:t>
      </w:r>
      <w:r w:rsidRPr="00A75BED">
        <w:rPr>
          <w:rFonts w:cstheme="minorHAnsi"/>
          <w:color w:val="222222"/>
          <w:shd w:val="clear" w:color="auto" w:fill="FFFFFF"/>
        </w:rPr>
        <w:t xml:space="preserve"> while resources fell alongside oil, gold, and copper. China declined amid weak consumption, property</w:t>
      </w:r>
      <w:r w:rsidRPr="00A75BED">
        <w:rPr>
          <w:rFonts w:cstheme="minorHAnsi"/>
          <w:color w:val="222222"/>
          <w:shd w:val="clear" w:color="auto" w:fill="FFFFFF"/>
        </w:rPr>
        <w:noBreakHyphen/>
        <w:t>sector stress, and fragile business confidence. Emerging markets softened overall due to profit</w:t>
      </w:r>
      <w:r w:rsidRPr="00A75BED">
        <w:rPr>
          <w:rFonts w:cstheme="minorHAnsi"/>
          <w:color w:val="222222"/>
          <w:shd w:val="clear" w:color="auto" w:fill="FFFFFF"/>
        </w:rPr>
        <w:noBreakHyphen/>
        <w:t>taking and AI</w:t>
      </w:r>
      <w:r w:rsidRPr="00A75BED">
        <w:rPr>
          <w:rFonts w:cstheme="minorHAnsi"/>
          <w:color w:val="222222"/>
          <w:shd w:val="clear" w:color="auto" w:fill="FFFFFF"/>
        </w:rPr>
        <w:noBreakHyphen/>
        <w:t>related volatility in Korea and Taiwan, while India rose 2.75%, reclaiming its position as the world’s fifth</w:t>
      </w:r>
      <w:r w:rsidRPr="00A75BED">
        <w:rPr>
          <w:rFonts w:cstheme="minorHAnsi"/>
          <w:color w:val="222222"/>
          <w:shd w:val="clear" w:color="auto" w:fill="FFFFFF"/>
        </w:rPr>
        <w:noBreakHyphen/>
        <w:t>largest equity market.</w:t>
      </w:r>
    </w:p>
    <w:p w14:paraId="528FD475" w14:textId="1861CA9E" w:rsidR="005E7D1C" w:rsidRPr="00A75BED" w:rsidRDefault="000F133D" w:rsidP="00827803">
      <w:pPr>
        <w:spacing w:before="0" w:after="0"/>
        <w:jc w:val="center"/>
        <w:rPr>
          <w:rFonts w:asciiTheme="majorHAnsi" w:hAnsiTheme="majorHAnsi" w:cstheme="majorHAnsi"/>
          <w:color w:val="222222"/>
          <w:shd w:val="clear" w:color="auto" w:fill="FFFFFF"/>
        </w:rPr>
      </w:pPr>
      <w:r w:rsidRPr="00A75BED">
        <w:rPr>
          <w:rFonts w:asciiTheme="majorHAnsi" w:hAnsiTheme="majorHAnsi" w:cstheme="majorHAnsi"/>
          <w:noProof/>
          <w:color w:val="222222"/>
          <w:shd w:val="clear" w:color="auto" w:fill="FFFFFF"/>
        </w:rPr>
        <w:drawing>
          <wp:inline distT="0" distB="0" distL="0" distR="0" wp14:anchorId="49417C7F" wp14:editId="7B52B2AE">
            <wp:extent cx="5731510" cy="1737360"/>
            <wp:effectExtent l="0" t="0" r="2540" b="0"/>
            <wp:docPr id="5" name="Picture 4">
              <a:extLst xmlns:a="http://schemas.openxmlformats.org/drawingml/2006/main">
                <a:ext uri="{FF2B5EF4-FFF2-40B4-BE49-F238E27FC236}">
                  <a16:creationId xmlns:a16="http://schemas.microsoft.com/office/drawing/2014/main" id="{36D3EE5A-96A5-6B5B-0D9A-7BF9582DF7A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36D3EE5A-96A5-6B5B-0D9A-7BF9582DF7A0}"/>
                        </a:ext>
                      </a:extLst>
                    </pic:cNvPr>
                    <pic:cNvPicPr>
                      <a:picLocks noChangeAspect="1"/>
                    </pic:cNvPicPr>
                  </pic:nvPicPr>
                  <pic:blipFill>
                    <a:blip r:embed="rId12"/>
                    <a:stretch>
                      <a:fillRect/>
                    </a:stretch>
                  </pic:blipFill>
                  <pic:spPr>
                    <a:xfrm>
                      <a:off x="0" y="0"/>
                      <a:ext cx="5731510" cy="1737360"/>
                    </a:xfrm>
                    <a:prstGeom prst="rect">
                      <a:avLst/>
                    </a:prstGeom>
                  </pic:spPr>
                </pic:pic>
              </a:graphicData>
            </a:graphic>
          </wp:inline>
        </w:drawing>
      </w:r>
    </w:p>
    <w:p w14:paraId="4593F997" w14:textId="48991FDF" w:rsidR="00D53B5B" w:rsidRPr="00A75BED" w:rsidRDefault="00193B6F" w:rsidP="00827803">
      <w:pPr>
        <w:spacing w:before="0" w:after="0"/>
        <w:jc w:val="center"/>
        <w:rPr>
          <w:rFonts w:asciiTheme="majorHAnsi" w:hAnsiTheme="majorHAnsi" w:cstheme="majorHAnsi"/>
          <w:color w:val="222222"/>
          <w:sz w:val="16"/>
          <w:szCs w:val="16"/>
          <w:shd w:val="clear" w:color="auto" w:fill="FFFFFF"/>
        </w:rPr>
      </w:pPr>
      <w:r w:rsidRPr="00A75BED">
        <w:rPr>
          <w:rFonts w:asciiTheme="majorHAnsi" w:hAnsiTheme="majorHAnsi" w:cstheme="majorHAnsi"/>
          <w:b/>
          <w:bCs/>
          <w:color w:val="222222"/>
          <w:sz w:val="16"/>
          <w:szCs w:val="16"/>
          <w:shd w:val="clear" w:color="auto" w:fill="FFFFFF"/>
        </w:rPr>
        <w:t>Data Source:</w:t>
      </w:r>
      <w:r w:rsidRPr="00A75BED">
        <w:rPr>
          <w:rFonts w:asciiTheme="majorHAnsi" w:hAnsiTheme="majorHAnsi" w:cstheme="majorHAnsi"/>
          <w:color w:val="222222"/>
          <w:sz w:val="16"/>
          <w:szCs w:val="16"/>
          <w:shd w:val="clear" w:color="auto" w:fill="FFFFFF"/>
        </w:rPr>
        <w:t xml:space="preserve"> </w:t>
      </w:r>
      <w:r w:rsidR="004B5E2E" w:rsidRPr="00A75BED">
        <w:rPr>
          <w:rFonts w:asciiTheme="majorHAnsi" w:hAnsiTheme="majorHAnsi" w:cstheme="majorHAnsi"/>
          <w:color w:val="222222"/>
          <w:sz w:val="16"/>
          <w:szCs w:val="16"/>
          <w:shd w:val="clear" w:color="auto" w:fill="FFFFFF"/>
        </w:rPr>
        <w:t>AFM</w:t>
      </w:r>
      <w:r w:rsidRPr="00A75BED">
        <w:rPr>
          <w:rFonts w:asciiTheme="majorHAnsi" w:hAnsiTheme="majorHAnsi" w:cstheme="majorHAnsi"/>
          <w:color w:val="222222"/>
          <w:sz w:val="16"/>
          <w:szCs w:val="16"/>
          <w:shd w:val="clear" w:color="auto" w:fill="FFFFFF"/>
        </w:rPr>
        <w:t xml:space="preserve"> as of </w:t>
      </w:r>
      <w:r w:rsidR="000F133D" w:rsidRPr="00A75BED">
        <w:rPr>
          <w:rFonts w:asciiTheme="majorHAnsi" w:hAnsiTheme="majorHAnsi" w:cstheme="majorHAnsi"/>
          <w:color w:val="222222"/>
          <w:sz w:val="16"/>
          <w:szCs w:val="16"/>
          <w:shd w:val="clear" w:color="auto" w:fill="FFFFFF"/>
        </w:rPr>
        <w:t>June</w:t>
      </w:r>
      <w:r w:rsidR="000E3302" w:rsidRPr="00A75BED">
        <w:rPr>
          <w:rFonts w:asciiTheme="majorHAnsi" w:hAnsiTheme="majorHAnsi" w:cstheme="majorHAnsi"/>
          <w:color w:val="222222"/>
          <w:sz w:val="16"/>
          <w:szCs w:val="16"/>
          <w:shd w:val="clear" w:color="auto" w:fill="FFFFFF"/>
        </w:rPr>
        <w:t xml:space="preserve"> </w:t>
      </w:r>
      <w:r w:rsidR="00374ED0" w:rsidRPr="00A75BED">
        <w:rPr>
          <w:rFonts w:asciiTheme="majorHAnsi" w:hAnsiTheme="majorHAnsi" w:cstheme="majorHAnsi"/>
          <w:color w:val="222222"/>
          <w:sz w:val="16"/>
          <w:szCs w:val="16"/>
          <w:shd w:val="clear" w:color="auto" w:fill="FFFFFF"/>
        </w:rPr>
        <w:t>3</w:t>
      </w:r>
      <w:r w:rsidR="000F133D" w:rsidRPr="00A75BED">
        <w:rPr>
          <w:rFonts w:asciiTheme="majorHAnsi" w:hAnsiTheme="majorHAnsi" w:cstheme="majorHAnsi"/>
          <w:color w:val="222222"/>
          <w:sz w:val="16"/>
          <w:szCs w:val="16"/>
          <w:shd w:val="clear" w:color="auto" w:fill="FFFFFF"/>
        </w:rPr>
        <w:t>0</w:t>
      </w:r>
      <w:r w:rsidR="00374ED0" w:rsidRPr="00A75BED">
        <w:rPr>
          <w:rFonts w:asciiTheme="majorHAnsi" w:hAnsiTheme="majorHAnsi" w:cstheme="majorHAnsi"/>
          <w:color w:val="222222"/>
          <w:sz w:val="16"/>
          <w:szCs w:val="16"/>
          <w:shd w:val="clear" w:color="auto" w:fill="FFFFFF"/>
        </w:rPr>
        <w:t>,</w:t>
      </w:r>
      <w:r w:rsidRPr="00A75BED">
        <w:rPr>
          <w:rFonts w:asciiTheme="majorHAnsi" w:hAnsiTheme="majorHAnsi" w:cstheme="majorHAnsi"/>
          <w:color w:val="222222"/>
          <w:sz w:val="16"/>
          <w:szCs w:val="16"/>
          <w:shd w:val="clear" w:color="auto" w:fill="FFFFFF"/>
        </w:rPr>
        <w:t xml:space="preserve"> 202</w:t>
      </w:r>
      <w:r w:rsidR="00645798" w:rsidRPr="00A75BED">
        <w:rPr>
          <w:rFonts w:asciiTheme="majorHAnsi" w:hAnsiTheme="majorHAnsi" w:cstheme="majorHAnsi"/>
          <w:color w:val="222222"/>
          <w:sz w:val="16"/>
          <w:szCs w:val="16"/>
          <w:shd w:val="clear" w:color="auto" w:fill="FFFFFF"/>
        </w:rPr>
        <w:t>6</w:t>
      </w:r>
      <w:r w:rsidRPr="00A75BED">
        <w:rPr>
          <w:rFonts w:asciiTheme="majorHAnsi" w:hAnsiTheme="majorHAnsi" w:cstheme="majorHAnsi"/>
          <w:color w:val="222222"/>
          <w:sz w:val="16"/>
          <w:szCs w:val="16"/>
          <w:shd w:val="clear" w:color="auto" w:fill="FFFFFF"/>
        </w:rPr>
        <w:t>.</w:t>
      </w:r>
    </w:p>
    <w:p w14:paraId="41DB7890" w14:textId="57626A6B" w:rsidR="006729DD" w:rsidRPr="00A75BED" w:rsidRDefault="003B20F9" w:rsidP="007152C2">
      <w:pPr>
        <w:jc w:val="both"/>
        <w:rPr>
          <w:rFonts w:asciiTheme="majorHAnsi" w:hAnsiTheme="majorHAnsi" w:cstheme="majorHAnsi"/>
          <w:b/>
          <w:bCs/>
        </w:rPr>
      </w:pPr>
      <w:r w:rsidRPr="00A75BED">
        <w:rPr>
          <w:rFonts w:asciiTheme="majorHAnsi" w:hAnsiTheme="majorHAnsi" w:cstheme="majorHAnsi"/>
          <w:b/>
          <w:bCs/>
        </w:rPr>
        <w:t xml:space="preserve">Global </w:t>
      </w:r>
      <w:r w:rsidR="006729DD" w:rsidRPr="00A75BED">
        <w:rPr>
          <w:rFonts w:asciiTheme="majorHAnsi" w:hAnsiTheme="majorHAnsi" w:cstheme="majorHAnsi"/>
          <w:b/>
          <w:bCs/>
        </w:rPr>
        <w:t>Bond Markets</w:t>
      </w:r>
    </w:p>
    <w:p w14:paraId="0069D01E" w14:textId="25AA60BA" w:rsidR="00656BEE" w:rsidRPr="00A75BED" w:rsidRDefault="00C76F9B" w:rsidP="00656BEE">
      <w:pPr>
        <w:jc w:val="both"/>
        <w:rPr>
          <w:rFonts w:ascii="Calibri" w:hAnsi="Calibri" w:cs="Calibri"/>
          <w:color w:val="222222"/>
          <w:shd w:val="clear" w:color="auto" w:fill="FFFFFF"/>
        </w:rPr>
      </w:pPr>
      <w:r w:rsidRPr="00A75BED">
        <w:rPr>
          <w:rFonts w:ascii="Calibri" w:hAnsi="Calibri" w:cs="Calibri"/>
          <w:color w:val="222222"/>
          <w:shd w:val="clear" w:color="auto" w:fill="FFFFFF"/>
        </w:rPr>
        <w:t>Global b</w:t>
      </w:r>
      <w:r w:rsidR="00656BEE" w:rsidRPr="00A75BED">
        <w:rPr>
          <w:rFonts w:ascii="Calibri" w:hAnsi="Calibri" w:cs="Calibri"/>
          <w:color w:val="222222"/>
          <w:shd w:val="clear" w:color="auto" w:fill="FFFFFF"/>
        </w:rPr>
        <w:t xml:space="preserve">ond yields </w:t>
      </w:r>
      <w:r w:rsidRPr="00A75BED">
        <w:rPr>
          <w:rFonts w:ascii="Calibri" w:hAnsi="Calibri" w:cs="Calibri"/>
          <w:color w:val="222222"/>
          <w:shd w:val="clear" w:color="auto" w:fill="FFFFFF"/>
        </w:rPr>
        <w:t>largely remained flat over the month of June</w:t>
      </w:r>
      <w:r w:rsidR="00BC7A6F" w:rsidRPr="00A75BED">
        <w:rPr>
          <w:rFonts w:ascii="Calibri" w:hAnsi="Calibri" w:cs="Calibri"/>
          <w:color w:val="222222"/>
          <w:shd w:val="clear" w:color="auto" w:fill="FFFFFF"/>
        </w:rPr>
        <w:t xml:space="preserve">, </w:t>
      </w:r>
      <w:r w:rsidR="002767DA">
        <w:rPr>
          <w:rFonts w:ascii="Calibri" w:hAnsi="Calibri" w:cs="Calibri"/>
          <w:color w:val="222222"/>
          <w:shd w:val="clear" w:color="auto" w:fill="FFFFFF"/>
        </w:rPr>
        <w:t>as inflation fears eased due to peace in the Middle East, which drove down oil prices</w:t>
      </w:r>
      <w:r w:rsidR="00A61F2A" w:rsidRPr="00A75BED">
        <w:rPr>
          <w:rFonts w:ascii="Calibri" w:hAnsi="Calibri" w:cs="Calibri"/>
          <w:color w:val="222222"/>
          <w:shd w:val="clear" w:color="auto" w:fill="FFFFFF"/>
        </w:rPr>
        <w:t xml:space="preserve">. This positive </w:t>
      </w:r>
      <w:r w:rsidR="00526640" w:rsidRPr="00A75BED">
        <w:rPr>
          <w:rFonts w:ascii="Calibri" w:hAnsi="Calibri" w:cs="Calibri"/>
          <w:color w:val="222222"/>
          <w:shd w:val="clear" w:color="auto" w:fill="FFFFFF"/>
        </w:rPr>
        <w:t>inflation development</w:t>
      </w:r>
      <w:r w:rsidR="00A61F2A" w:rsidRPr="00A75BED">
        <w:rPr>
          <w:rFonts w:ascii="Calibri" w:hAnsi="Calibri" w:cs="Calibri"/>
          <w:color w:val="222222"/>
          <w:shd w:val="clear" w:color="auto" w:fill="FFFFFF"/>
        </w:rPr>
        <w:t xml:space="preserve"> was at odds with </w:t>
      </w:r>
      <w:r w:rsidR="00F23A1A">
        <w:rPr>
          <w:rFonts w:ascii="Calibri" w:hAnsi="Calibri" w:cs="Calibri"/>
          <w:color w:val="222222"/>
          <w:shd w:val="clear" w:color="auto" w:fill="FFFFFF"/>
        </w:rPr>
        <w:t>the new Federal Governor Walsh's</w:t>
      </w:r>
      <w:r w:rsidR="00E45A37" w:rsidRPr="00A75BED">
        <w:rPr>
          <w:rFonts w:ascii="Calibri" w:hAnsi="Calibri" w:cs="Calibri"/>
          <w:color w:val="222222"/>
          <w:shd w:val="clear" w:color="auto" w:fill="FFFFFF"/>
        </w:rPr>
        <w:t xml:space="preserve"> interpretation that the US economy is running too hot and that inflation needs to be reeled in. </w:t>
      </w:r>
      <w:r w:rsidR="00656BEE" w:rsidRPr="00A75BED">
        <w:rPr>
          <w:rFonts w:ascii="Calibri" w:hAnsi="Calibri" w:cs="Calibri"/>
          <w:color w:val="222222"/>
          <w:shd w:val="clear" w:color="auto" w:fill="FFFFFF"/>
        </w:rPr>
        <w:t xml:space="preserve">Yields remain higher </w:t>
      </w:r>
      <w:r w:rsidR="00F23A1A">
        <w:rPr>
          <w:rFonts w:ascii="Calibri" w:hAnsi="Calibri" w:cs="Calibri"/>
          <w:color w:val="222222"/>
          <w:shd w:val="clear" w:color="auto" w:fill="FFFFFF"/>
        </w:rPr>
        <w:t>across the board year to date, as elevated fuel prices heighten</w:t>
      </w:r>
      <w:r w:rsidR="00656BEE" w:rsidRPr="00A75BED">
        <w:rPr>
          <w:rFonts w:ascii="Calibri" w:hAnsi="Calibri" w:cs="Calibri"/>
          <w:color w:val="222222"/>
          <w:shd w:val="clear" w:color="auto" w:fill="FFFFFF"/>
        </w:rPr>
        <w:t xml:space="preserve"> fears of even higher inflation and cash rates ahead.</w:t>
      </w:r>
    </w:p>
    <w:p w14:paraId="73A8D33B" w14:textId="1352D1B0" w:rsidR="003B20F9" w:rsidRPr="00A75BED" w:rsidRDefault="003B20F9" w:rsidP="007152C2">
      <w:pPr>
        <w:jc w:val="both"/>
        <w:rPr>
          <w:rFonts w:ascii="Calibri" w:hAnsi="Calibri" w:cs="Calibri"/>
          <w:color w:val="222222"/>
          <w:shd w:val="clear" w:color="auto" w:fill="FFFFFF"/>
        </w:rPr>
      </w:pPr>
      <w:r w:rsidRPr="00A75BED">
        <w:rPr>
          <w:rFonts w:ascii="Calibri" w:hAnsi="Calibri" w:cs="Calibri"/>
          <w:color w:val="222222"/>
          <w:shd w:val="clear" w:color="auto" w:fill="FFFFFF"/>
        </w:rPr>
        <w:t xml:space="preserve">Interest rate markets </w:t>
      </w:r>
      <w:r w:rsidR="00562F90" w:rsidRPr="00A75BED">
        <w:rPr>
          <w:rFonts w:ascii="Calibri" w:hAnsi="Calibri" w:cs="Calibri"/>
          <w:color w:val="222222"/>
          <w:shd w:val="clear" w:color="auto" w:fill="FFFFFF"/>
        </w:rPr>
        <w:t xml:space="preserve">were </w:t>
      </w:r>
      <w:r w:rsidR="00682D7D" w:rsidRPr="00A75BED">
        <w:rPr>
          <w:rFonts w:ascii="Calibri" w:hAnsi="Calibri" w:cs="Calibri"/>
          <w:color w:val="222222"/>
          <w:shd w:val="clear" w:color="auto" w:fill="FFFFFF"/>
        </w:rPr>
        <w:t>lower</w:t>
      </w:r>
      <w:r w:rsidR="00562F90" w:rsidRPr="00A75BED">
        <w:rPr>
          <w:rFonts w:ascii="Calibri" w:hAnsi="Calibri" w:cs="Calibri"/>
          <w:color w:val="222222"/>
          <w:shd w:val="clear" w:color="auto" w:fill="FFFFFF"/>
        </w:rPr>
        <w:t xml:space="preserve"> in </w:t>
      </w:r>
      <w:r w:rsidR="00682D7D" w:rsidRPr="00A75BED">
        <w:rPr>
          <w:rFonts w:ascii="Calibri" w:hAnsi="Calibri" w:cs="Calibri"/>
          <w:color w:val="222222"/>
          <w:shd w:val="clear" w:color="auto" w:fill="FFFFFF"/>
        </w:rPr>
        <w:t>June</w:t>
      </w:r>
      <w:r w:rsidR="00562F90" w:rsidRPr="00A75BED">
        <w:rPr>
          <w:rFonts w:ascii="Calibri" w:hAnsi="Calibri" w:cs="Calibri"/>
          <w:color w:val="222222"/>
          <w:shd w:val="clear" w:color="auto" w:fill="FFFFFF"/>
        </w:rPr>
        <w:t xml:space="preserve">, with the </w:t>
      </w:r>
      <w:r w:rsidR="0023582D" w:rsidRPr="00A75BED">
        <w:rPr>
          <w:rFonts w:ascii="Calibri" w:hAnsi="Calibri" w:cs="Calibri"/>
          <w:color w:val="222222"/>
          <w:shd w:val="clear" w:color="auto" w:fill="FFFFFF"/>
        </w:rPr>
        <w:t xml:space="preserve">US </w:t>
      </w:r>
      <w:r w:rsidR="00562F90" w:rsidRPr="00A75BED">
        <w:rPr>
          <w:rFonts w:ascii="Calibri" w:hAnsi="Calibri" w:cs="Calibri"/>
          <w:color w:val="222222"/>
          <w:shd w:val="clear" w:color="auto" w:fill="FFFFFF"/>
        </w:rPr>
        <w:t xml:space="preserve">10-year Government bond rate </w:t>
      </w:r>
      <w:r w:rsidR="00682D7D" w:rsidRPr="00A75BED">
        <w:rPr>
          <w:rFonts w:ascii="Calibri" w:hAnsi="Calibri" w:cs="Calibri"/>
          <w:color w:val="222222"/>
          <w:shd w:val="clear" w:color="auto" w:fill="FFFFFF"/>
        </w:rPr>
        <w:t>dropping</w:t>
      </w:r>
      <w:r w:rsidR="00562F90" w:rsidRPr="00A75BED">
        <w:rPr>
          <w:rFonts w:ascii="Calibri" w:hAnsi="Calibri" w:cs="Calibri"/>
          <w:color w:val="222222"/>
          <w:shd w:val="clear" w:color="auto" w:fill="FFFFFF"/>
        </w:rPr>
        <w:t xml:space="preserve"> to 4.</w:t>
      </w:r>
      <w:r w:rsidR="00682D7D" w:rsidRPr="00A75BED">
        <w:rPr>
          <w:rFonts w:ascii="Calibri" w:hAnsi="Calibri" w:cs="Calibri"/>
          <w:color w:val="222222"/>
          <w:shd w:val="clear" w:color="auto" w:fill="FFFFFF"/>
        </w:rPr>
        <w:t>3626</w:t>
      </w:r>
      <w:r w:rsidR="00562F90" w:rsidRPr="00A75BED">
        <w:rPr>
          <w:rFonts w:ascii="Calibri" w:hAnsi="Calibri" w:cs="Calibri"/>
          <w:color w:val="222222"/>
          <w:shd w:val="clear" w:color="auto" w:fill="FFFFFF"/>
        </w:rPr>
        <w:t>%</w:t>
      </w:r>
      <w:r w:rsidR="0023582D" w:rsidRPr="00A75BED">
        <w:rPr>
          <w:rFonts w:ascii="Calibri" w:hAnsi="Calibri" w:cs="Calibri"/>
          <w:color w:val="222222"/>
          <w:shd w:val="clear" w:color="auto" w:fill="FFFFFF"/>
        </w:rPr>
        <w:t xml:space="preserve"> and </w:t>
      </w:r>
      <w:r w:rsidR="00EB08F9" w:rsidRPr="00A75BED">
        <w:rPr>
          <w:rFonts w:ascii="Calibri" w:hAnsi="Calibri" w:cs="Calibri"/>
          <w:color w:val="222222"/>
          <w:shd w:val="clear" w:color="auto" w:fill="FFFFFF"/>
        </w:rPr>
        <w:t>the UK</w:t>
      </w:r>
      <w:r w:rsidRPr="00A75BED">
        <w:rPr>
          <w:rFonts w:ascii="Calibri" w:hAnsi="Calibri" w:cs="Calibri"/>
          <w:color w:val="222222"/>
          <w:shd w:val="clear" w:color="auto" w:fill="FFFFFF"/>
        </w:rPr>
        <w:t xml:space="preserve"> </w:t>
      </w:r>
      <w:r w:rsidR="00017E15" w:rsidRPr="00A75BED">
        <w:rPr>
          <w:rFonts w:ascii="Calibri" w:hAnsi="Calibri" w:cs="Calibri"/>
          <w:color w:val="222222"/>
          <w:shd w:val="clear" w:color="auto" w:fill="FFFFFF"/>
        </w:rPr>
        <w:t>10-</w:t>
      </w:r>
      <w:r w:rsidRPr="00A75BED">
        <w:rPr>
          <w:rFonts w:ascii="Calibri" w:hAnsi="Calibri" w:cs="Calibri"/>
          <w:color w:val="222222"/>
          <w:shd w:val="clear" w:color="auto" w:fill="FFFFFF"/>
        </w:rPr>
        <w:t xml:space="preserve">year </w:t>
      </w:r>
      <w:r w:rsidR="00970CE9" w:rsidRPr="00A75BED">
        <w:rPr>
          <w:rFonts w:ascii="Calibri" w:hAnsi="Calibri" w:cs="Calibri"/>
          <w:color w:val="222222"/>
          <w:shd w:val="clear" w:color="auto" w:fill="FFFFFF"/>
        </w:rPr>
        <w:t>Gilts</w:t>
      </w:r>
      <w:r w:rsidR="00E94DE3" w:rsidRPr="00A75BED">
        <w:rPr>
          <w:rFonts w:ascii="Calibri" w:hAnsi="Calibri" w:cs="Calibri"/>
          <w:color w:val="222222"/>
          <w:shd w:val="clear" w:color="auto" w:fill="FFFFFF"/>
        </w:rPr>
        <w:t xml:space="preserve"> </w:t>
      </w:r>
      <w:r w:rsidR="0023582D" w:rsidRPr="00A75BED">
        <w:rPr>
          <w:rFonts w:ascii="Calibri" w:hAnsi="Calibri" w:cs="Calibri"/>
          <w:color w:val="222222"/>
          <w:shd w:val="clear" w:color="auto" w:fill="FFFFFF"/>
        </w:rPr>
        <w:t>falling to</w:t>
      </w:r>
      <w:r w:rsidR="00364EC8" w:rsidRPr="00A75BED">
        <w:rPr>
          <w:rFonts w:ascii="Calibri" w:hAnsi="Calibri" w:cs="Calibri"/>
          <w:color w:val="222222"/>
          <w:shd w:val="clear" w:color="auto" w:fill="FFFFFF"/>
        </w:rPr>
        <w:t xml:space="preserve"> </w:t>
      </w:r>
      <w:r w:rsidR="00682D7D" w:rsidRPr="00A75BED">
        <w:rPr>
          <w:rFonts w:ascii="Calibri" w:hAnsi="Calibri" w:cs="Calibri"/>
          <w:color w:val="222222"/>
          <w:shd w:val="clear" w:color="auto" w:fill="FFFFFF"/>
        </w:rPr>
        <w:t>4.949</w:t>
      </w:r>
      <w:r w:rsidR="00364EC8" w:rsidRPr="00A75BED">
        <w:rPr>
          <w:rFonts w:ascii="Calibri" w:hAnsi="Calibri" w:cs="Calibri"/>
          <w:color w:val="222222"/>
          <w:shd w:val="clear" w:color="auto" w:fill="FFFFFF"/>
        </w:rPr>
        <w:t>% from</w:t>
      </w:r>
      <w:r w:rsidRPr="00A75BED">
        <w:rPr>
          <w:rFonts w:ascii="Calibri" w:hAnsi="Calibri" w:cs="Calibri"/>
          <w:color w:val="222222"/>
          <w:shd w:val="clear" w:color="auto" w:fill="FFFFFF"/>
        </w:rPr>
        <w:t xml:space="preserve"> </w:t>
      </w:r>
      <w:r w:rsidR="00682D7D" w:rsidRPr="00A75BED">
        <w:rPr>
          <w:rFonts w:ascii="Calibri" w:hAnsi="Calibri" w:cs="Calibri"/>
          <w:color w:val="222222"/>
          <w:shd w:val="clear" w:color="auto" w:fill="FFFFFF"/>
        </w:rPr>
        <w:t>5.048</w:t>
      </w:r>
      <w:r w:rsidRPr="00A75BED">
        <w:rPr>
          <w:rFonts w:ascii="Calibri" w:hAnsi="Calibri" w:cs="Calibri"/>
          <w:color w:val="222222"/>
          <w:shd w:val="clear" w:color="auto" w:fill="FFFFFF"/>
        </w:rPr>
        <w:t xml:space="preserve">% </w:t>
      </w:r>
      <w:r w:rsidR="00364EC8" w:rsidRPr="00A75BED">
        <w:rPr>
          <w:rFonts w:ascii="Calibri" w:hAnsi="Calibri" w:cs="Calibri"/>
          <w:color w:val="222222"/>
          <w:shd w:val="clear" w:color="auto" w:fill="FFFFFF"/>
        </w:rPr>
        <w:t>in</w:t>
      </w:r>
      <w:r w:rsidRPr="00A75BED">
        <w:rPr>
          <w:rFonts w:ascii="Calibri" w:hAnsi="Calibri" w:cs="Calibri"/>
          <w:color w:val="222222"/>
          <w:shd w:val="clear" w:color="auto" w:fill="FFFFFF"/>
        </w:rPr>
        <w:t xml:space="preserve"> </w:t>
      </w:r>
      <w:r w:rsidR="00682D7D" w:rsidRPr="00A75BED">
        <w:rPr>
          <w:rFonts w:ascii="Calibri" w:hAnsi="Calibri" w:cs="Calibri"/>
          <w:color w:val="222222"/>
          <w:shd w:val="clear" w:color="auto" w:fill="FFFFFF"/>
        </w:rPr>
        <w:t>May</w:t>
      </w:r>
      <w:r w:rsidR="000760AB" w:rsidRPr="00A75BED">
        <w:rPr>
          <w:rFonts w:ascii="Calibri" w:hAnsi="Calibri" w:cs="Calibri"/>
          <w:color w:val="222222"/>
          <w:shd w:val="clear" w:color="auto" w:fill="FFFFFF"/>
        </w:rPr>
        <w:t xml:space="preserve"> 202</w:t>
      </w:r>
      <w:r w:rsidR="006C67B3" w:rsidRPr="00A75BED">
        <w:rPr>
          <w:rFonts w:ascii="Calibri" w:hAnsi="Calibri" w:cs="Calibri"/>
          <w:color w:val="222222"/>
          <w:shd w:val="clear" w:color="auto" w:fill="FFFFFF"/>
        </w:rPr>
        <w:t>6</w:t>
      </w:r>
      <w:r w:rsidR="000760AB" w:rsidRPr="00A75BED">
        <w:rPr>
          <w:rFonts w:ascii="Calibri" w:hAnsi="Calibri" w:cs="Calibri"/>
          <w:color w:val="222222"/>
          <w:shd w:val="clear" w:color="auto" w:fill="FFFFFF"/>
        </w:rPr>
        <w:t>.</w:t>
      </w:r>
    </w:p>
    <w:p w14:paraId="56390823" w14:textId="2AD90A09" w:rsidR="00F67D7A" w:rsidRPr="00A75BED" w:rsidRDefault="00F67D7A" w:rsidP="007152C2">
      <w:pPr>
        <w:jc w:val="both"/>
        <w:rPr>
          <w:rFonts w:ascii="Calibri" w:hAnsi="Calibri" w:cs="Calibri"/>
          <w:b/>
          <w:bCs/>
          <w:color w:val="222222"/>
          <w:shd w:val="clear" w:color="auto" w:fill="FFFFFF"/>
        </w:rPr>
      </w:pPr>
      <w:r w:rsidRPr="00A75BED">
        <w:rPr>
          <w:rFonts w:ascii="Calibri" w:hAnsi="Calibri" w:cs="Calibri"/>
          <w:b/>
          <w:bCs/>
          <w:color w:val="222222"/>
          <w:shd w:val="clear" w:color="auto" w:fill="FFFFFF"/>
        </w:rPr>
        <w:t xml:space="preserve">Domestic </w:t>
      </w:r>
      <w:r w:rsidR="003B20F9" w:rsidRPr="00A75BED">
        <w:rPr>
          <w:rFonts w:ascii="Calibri" w:hAnsi="Calibri" w:cs="Calibri"/>
          <w:b/>
          <w:bCs/>
          <w:color w:val="222222"/>
          <w:shd w:val="clear" w:color="auto" w:fill="FFFFFF"/>
        </w:rPr>
        <w:t xml:space="preserve">Bond </w:t>
      </w:r>
      <w:r w:rsidRPr="00A75BED">
        <w:rPr>
          <w:rFonts w:ascii="Calibri" w:hAnsi="Calibri" w:cs="Calibri"/>
          <w:b/>
          <w:bCs/>
          <w:color w:val="222222"/>
          <w:shd w:val="clear" w:color="auto" w:fill="FFFFFF"/>
        </w:rPr>
        <w:t>Markets</w:t>
      </w:r>
    </w:p>
    <w:p w14:paraId="468B95DB" w14:textId="2D9C201B" w:rsidR="000A08BF" w:rsidRPr="00A75BED" w:rsidRDefault="00150984" w:rsidP="007152C2">
      <w:pPr>
        <w:jc w:val="both"/>
        <w:rPr>
          <w:rFonts w:ascii="Calibri" w:hAnsi="Calibri" w:cs="Calibri"/>
          <w:color w:val="222222"/>
          <w:shd w:val="clear" w:color="auto" w:fill="FFFFFF"/>
        </w:rPr>
      </w:pPr>
      <w:r w:rsidRPr="00A75BED">
        <w:rPr>
          <w:rFonts w:ascii="Calibri" w:hAnsi="Calibri" w:cs="Calibri"/>
          <w:color w:val="222222"/>
          <w:shd w:val="clear" w:color="auto" w:fill="FFFFFF"/>
        </w:rPr>
        <w:t xml:space="preserve">Treasury yields </w:t>
      </w:r>
      <w:r w:rsidR="0013543E" w:rsidRPr="00A75BED">
        <w:rPr>
          <w:rFonts w:ascii="Calibri" w:hAnsi="Calibri" w:cs="Calibri"/>
          <w:color w:val="222222"/>
          <w:shd w:val="clear" w:color="auto" w:fill="FFFFFF"/>
        </w:rPr>
        <w:t>fell</w:t>
      </w:r>
      <w:r w:rsidRPr="00A75BED">
        <w:rPr>
          <w:rFonts w:ascii="Calibri" w:hAnsi="Calibri" w:cs="Calibri"/>
          <w:color w:val="222222"/>
          <w:shd w:val="clear" w:color="auto" w:fill="FFFFFF"/>
        </w:rPr>
        <w:t xml:space="preserve"> </w:t>
      </w:r>
      <w:r w:rsidR="00123BD7" w:rsidRPr="00A75BED">
        <w:rPr>
          <w:rFonts w:ascii="Calibri" w:hAnsi="Calibri" w:cs="Calibri"/>
          <w:color w:val="222222"/>
          <w:shd w:val="clear" w:color="auto" w:fill="FFFFFF"/>
        </w:rPr>
        <w:t>across all maturities in Australia</w:t>
      </w:r>
      <w:r w:rsidRPr="00A75BED">
        <w:rPr>
          <w:rFonts w:ascii="Calibri" w:hAnsi="Calibri" w:cs="Calibri"/>
          <w:color w:val="222222"/>
          <w:shd w:val="clear" w:color="auto" w:fill="FFFFFF"/>
        </w:rPr>
        <w:t xml:space="preserve"> as markets</w:t>
      </w:r>
      <w:r w:rsidR="00A6428E" w:rsidRPr="00A75BED">
        <w:rPr>
          <w:rFonts w:ascii="Calibri" w:hAnsi="Calibri" w:cs="Calibri"/>
          <w:color w:val="222222"/>
          <w:shd w:val="clear" w:color="auto" w:fill="FFFFFF"/>
        </w:rPr>
        <w:t xml:space="preserve"> </w:t>
      </w:r>
      <w:r w:rsidR="0013543E" w:rsidRPr="00A75BED">
        <w:rPr>
          <w:rFonts w:ascii="Calibri" w:hAnsi="Calibri" w:cs="Calibri"/>
          <w:color w:val="222222"/>
          <w:shd w:val="clear" w:color="auto" w:fill="FFFFFF"/>
        </w:rPr>
        <w:t xml:space="preserve">started to decrease the </w:t>
      </w:r>
      <w:r w:rsidR="008D79D8" w:rsidRPr="00A75BED">
        <w:rPr>
          <w:rFonts w:ascii="Calibri" w:hAnsi="Calibri" w:cs="Calibri"/>
          <w:color w:val="222222"/>
          <w:shd w:val="clear" w:color="auto" w:fill="FFFFFF"/>
        </w:rPr>
        <w:t>number of interest rate hikes by the Reserve Bank</w:t>
      </w:r>
      <w:r w:rsidR="0013543E" w:rsidRPr="00A75BED">
        <w:rPr>
          <w:rFonts w:ascii="Calibri" w:hAnsi="Calibri" w:cs="Calibri"/>
          <w:color w:val="222222"/>
          <w:shd w:val="clear" w:color="auto" w:fill="FFFFFF"/>
        </w:rPr>
        <w:t xml:space="preserve"> this year</w:t>
      </w:r>
      <w:r w:rsidR="00C732FE" w:rsidRPr="00A75BED">
        <w:rPr>
          <w:rFonts w:ascii="Calibri" w:hAnsi="Calibri" w:cs="Calibri"/>
          <w:color w:val="222222"/>
          <w:shd w:val="clear" w:color="auto" w:fill="FFFFFF"/>
        </w:rPr>
        <w:t xml:space="preserve">. This was driven primarily by a weaker </w:t>
      </w:r>
      <w:r w:rsidR="002606E7" w:rsidRPr="00A75BED">
        <w:rPr>
          <w:rFonts w:ascii="Calibri" w:hAnsi="Calibri" w:cs="Calibri"/>
          <w:color w:val="222222"/>
          <w:shd w:val="clear" w:color="auto" w:fill="FFFFFF"/>
        </w:rPr>
        <w:t>inflation</w:t>
      </w:r>
      <w:r w:rsidR="00C732FE" w:rsidRPr="00A75BED">
        <w:rPr>
          <w:rFonts w:ascii="Calibri" w:hAnsi="Calibri" w:cs="Calibri"/>
          <w:color w:val="222222"/>
          <w:shd w:val="clear" w:color="auto" w:fill="FFFFFF"/>
        </w:rPr>
        <w:t xml:space="preserve"> </w:t>
      </w:r>
      <w:r w:rsidR="008D79D8" w:rsidRPr="00A75BED">
        <w:rPr>
          <w:rFonts w:ascii="Calibri" w:hAnsi="Calibri" w:cs="Calibri"/>
          <w:color w:val="222222"/>
          <w:shd w:val="clear" w:color="auto" w:fill="FFFFFF"/>
        </w:rPr>
        <w:t>rate,</w:t>
      </w:r>
      <w:r w:rsidR="00C732FE" w:rsidRPr="00A75BED">
        <w:rPr>
          <w:rFonts w:ascii="Calibri" w:hAnsi="Calibri" w:cs="Calibri"/>
          <w:color w:val="222222"/>
          <w:shd w:val="clear" w:color="auto" w:fill="FFFFFF"/>
        </w:rPr>
        <w:t xml:space="preserve"> which </w:t>
      </w:r>
      <w:r w:rsidR="002606E7" w:rsidRPr="00A75BED">
        <w:rPr>
          <w:rFonts w:ascii="Calibri" w:hAnsi="Calibri" w:cs="Calibri"/>
          <w:color w:val="222222"/>
          <w:shd w:val="clear" w:color="auto" w:fill="FFFFFF"/>
        </w:rPr>
        <w:t>decreased</w:t>
      </w:r>
      <w:r w:rsidR="00C732FE" w:rsidRPr="00A75BED">
        <w:rPr>
          <w:rFonts w:ascii="Calibri" w:hAnsi="Calibri" w:cs="Calibri"/>
          <w:color w:val="222222"/>
          <w:shd w:val="clear" w:color="auto" w:fill="FFFFFF"/>
        </w:rPr>
        <w:t xml:space="preserve"> to </w:t>
      </w:r>
      <w:r w:rsidR="000C47EA" w:rsidRPr="00A75BED">
        <w:rPr>
          <w:rFonts w:ascii="Calibri" w:hAnsi="Calibri" w:cs="Calibri"/>
          <w:color w:val="222222"/>
          <w:shd w:val="clear" w:color="auto" w:fill="FFFFFF"/>
        </w:rPr>
        <w:t>4.</w:t>
      </w:r>
      <w:r w:rsidR="002606E7" w:rsidRPr="00A75BED">
        <w:rPr>
          <w:rFonts w:ascii="Calibri" w:hAnsi="Calibri" w:cs="Calibri"/>
          <w:color w:val="222222"/>
          <w:shd w:val="clear" w:color="auto" w:fill="FFFFFF"/>
        </w:rPr>
        <w:t>3</w:t>
      </w:r>
      <w:r w:rsidR="000C47EA" w:rsidRPr="00A75BED">
        <w:rPr>
          <w:rFonts w:ascii="Calibri" w:hAnsi="Calibri" w:cs="Calibri"/>
          <w:color w:val="222222"/>
          <w:shd w:val="clear" w:color="auto" w:fill="FFFFFF"/>
        </w:rPr>
        <w:t>% from 4.</w:t>
      </w:r>
      <w:r w:rsidR="002606E7" w:rsidRPr="00A75BED">
        <w:rPr>
          <w:rFonts w:ascii="Calibri" w:hAnsi="Calibri" w:cs="Calibri"/>
          <w:color w:val="222222"/>
          <w:shd w:val="clear" w:color="auto" w:fill="FFFFFF"/>
        </w:rPr>
        <w:t>0</w:t>
      </w:r>
      <w:r w:rsidR="000C47EA" w:rsidRPr="00A75BED">
        <w:rPr>
          <w:rFonts w:ascii="Calibri" w:hAnsi="Calibri" w:cs="Calibri"/>
          <w:color w:val="222222"/>
          <w:shd w:val="clear" w:color="auto" w:fill="FFFFFF"/>
        </w:rPr>
        <w:t>%.</w:t>
      </w:r>
      <w:r w:rsidR="00A6428E" w:rsidRPr="00A75BED">
        <w:rPr>
          <w:rFonts w:ascii="Calibri" w:hAnsi="Calibri" w:cs="Calibri"/>
          <w:color w:val="222222"/>
          <w:shd w:val="clear" w:color="auto" w:fill="FFFFFF"/>
        </w:rPr>
        <w:t xml:space="preserve"> </w:t>
      </w:r>
      <w:r w:rsidR="00F23A1A">
        <w:rPr>
          <w:rFonts w:ascii="Calibri" w:hAnsi="Calibri" w:cs="Calibri"/>
          <w:color w:val="222222"/>
          <w:shd w:val="clear" w:color="auto" w:fill="FFFFFF"/>
        </w:rPr>
        <w:t xml:space="preserve">In Australia, the latest unemployment rate (year-on-year) for </w:t>
      </w:r>
      <w:r w:rsidR="009615D9" w:rsidRPr="00A75BED">
        <w:rPr>
          <w:rFonts w:ascii="Calibri" w:hAnsi="Calibri" w:cs="Calibri"/>
          <w:color w:val="222222"/>
          <w:shd w:val="clear" w:color="auto" w:fill="FFFFFF"/>
        </w:rPr>
        <w:t>May</w:t>
      </w:r>
      <w:r w:rsidR="009516F8" w:rsidRPr="00A75BED">
        <w:rPr>
          <w:rFonts w:ascii="Calibri" w:hAnsi="Calibri" w:cs="Calibri"/>
          <w:color w:val="222222"/>
          <w:shd w:val="clear" w:color="auto" w:fill="FFFFFF"/>
        </w:rPr>
        <w:t xml:space="preserve"> </w:t>
      </w:r>
      <w:r w:rsidR="00A352A1" w:rsidRPr="00A75BED">
        <w:rPr>
          <w:rFonts w:ascii="Calibri" w:hAnsi="Calibri" w:cs="Calibri"/>
          <w:color w:val="222222"/>
          <w:shd w:val="clear" w:color="auto" w:fill="FFFFFF"/>
        </w:rPr>
        <w:t>202</w:t>
      </w:r>
      <w:r w:rsidR="000829B5" w:rsidRPr="00A75BED">
        <w:rPr>
          <w:rFonts w:ascii="Calibri" w:hAnsi="Calibri" w:cs="Calibri"/>
          <w:color w:val="222222"/>
          <w:shd w:val="clear" w:color="auto" w:fill="FFFFFF"/>
        </w:rPr>
        <w:t>6</w:t>
      </w:r>
      <w:r w:rsidR="003F6AD4" w:rsidRPr="00A75BED">
        <w:rPr>
          <w:rFonts w:ascii="Calibri" w:hAnsi="Calibri" w:cs="Calibri"/>
          <w:color w:val="222222"/>
          <w:shd w:val="clear" w:color="auto" w:fill="FFFFFF"/>
        </w:rPr>
        <w:t xml:space="preserve"> </w:t>
      </w:r>
      <w:r w:rsidR="000C47EA" w:rsidRPr="00A75BED">
        <w:rPr>
          <w:rFonts w:ascii="Calibri" w:hAnsi="Calibri" w:cs="Calibri"/>
          <w:color w:val="222222"/>
          <w:shd w:val="clear" w:color="auto" w:fill="FFFFFF"/>
        </w:rPr>
        <w:t>decreased</w:t>
      </w:r>
      <w:r w:rsidR="003F6AD4" w:rsidRPr="00A75BED">
        <w:rPr>
          <w:rFonts w:ascii="Calibri" w:hAnsi="Calibri" w:cs="Calibri"/>
          <w:color w:val="222222"/>
          <w:shd w:val="clear" w:color="auto" w:fill="FFFFFF"/>
        </w:rPr>
        <w:t xml:space="preserve"> </w:t>
      </w:r>
      <w:r w:rsidR="00157329" w:rsidRPr="00A75BED">
        <w:rPr>
          <w:rFonts w:ascii="Calibri" w:hAnsi="Calibri" w:cs="Calibri"/>
          <w:color w:val="222222"/>
          <w:shd w:val="clear" w:color="auto" w:fill="FFFFFF"/>
        </w:rPr>
        <w:t xml:space="preserve">to </w:t>
      </w:r>
      <w:r w:rsidR="009516F8" w:rsidRPr="00A75BED">
        <w:rPr>
          <w:rFonts w:ascii="Calibri" w:hAnsi="Calibri" w:cs="Calibri"/>
          <w:color w:val="222222"/>
          <w:shd w:val="clear" w:color="auto" w:fill="FFFFFF"/>
        </w:rPr>
        <w:t>4.</w:t>
      </w:r>
      <w:r w:rsidR="009615D9" w:rsidRPr="00A75BED">
        <w:rPr>
          <w:rFonts w:ascii="Calibri" w:hAnsi="Calibri" w:cs="Calibri"/>
          <w:color w:val="222222"/>
          <w:shd w:val="clear" w:color="auto" w:fill="FFFFFF"/>
        </w:rPr>
        <w:t>5</w:t>
      </w:r>
      <w:r w:rsidR="00157329" w:rsidRPr="00A75BED">
        <w:rPr>
          <w:rFonts w:ascii="Calibri" w:hAnsi="Calibri" w:cs="Calibri"/>
          <w:color w:val="222222"/>
          <w:shd w:val="clear" w:color="auto" w:fill="FFFFFF"/>
        </w:rPr>
        <w:t>%</w:t>
      </w:r>
      <w:r w:rsidR="00A61804" w:rsidRPr="00A75BED">
        <w:rPr>
          <w:rFonts w:ascii="Calibri" w:hAnsi="Calibri" w:cs="Calibri"/>
          <w:color w:val="222222"/>
          <w:shd w:val="clear" w:color="auto" w:fill="FFFFFF"/>
        </w:rPr>
        <w:t>,</w:t>
      </w:r>
      <w:r w:rsidR="00157329" w:rsidRPr="00A75BED">
        <w:rPr>
          <w:rFonts w:ascii="Calibri" w:hAnsi="Calibri" w:cs="Calibri"/>
          <w:color w:val="222222"/>
          <w:shd w:val="clear" w:color="auto" w:fill="FFFFFF"/>
        </w:rPr>
        <w:t xml:space="preserve"> </w:t>
      </w:r>
      <w:r w:rsidR="009615D9" w:rsidRPr="00A75BED">
        <w:rPr>
          <w:rFonts w:ascii="Calibri" w:hAnsi="Calibri" w:cs="Calibri"/>
          <w:color w:val="222222"/>
          <w:shd w:val="clear" w:color="auto" w:fill="FFFFFF"/>
        </w:rPr>
        <w:t>down</w:t>
      </w:r>
      <w:r w:rsidR="00157329" w:rsidRPr="00A75BED">
        <w:rPr>
          <w:rFonts w:ascii="Calibri" w:hAnsi="Calibri" w:cs="Calibri"/>
          <w:color w:val="222222"/>
          <w:shd w:val="clear" w:color="auto" w:fill="FFFFFF"/>
        </w:rPr>
        <w:t xml:space="preserve"> from </w:t>
      </w:r>
      <w:r w:rsidR="000C47EA" w:rsidRPr="00A75BED">
        <w:rPr>
          <w:rFonts w:ascii="Calibri" w:hAnsi="Calibri" w:cs="Calibri"/>
          <w:color w:val="222222"/>
          <w:shd w:val="clear" w:color="auto" w:fill="FFFFFF"/>
        </w:rPr>
        <w:t>4.</w:t>
      </w:r>
      <w:r w:rsidR="009615D9" w:rsidRPr="00A75BED">
        <w:rPr>
          <w:rFonts w:ascii="Calibri" w:hAnsi="Calibri" w:cs="Calibri"/>
          <w:color w:val="222222"/>
          <w:shd w:val="clear" w:color="auto" w:fill="FFFFFF"/>
        </w:rPr>
        <w:t>5</w:t>
      </w:r>
      <w:r w:rsidR="00157329" w:rsidRPr="00A75BED">
        <w:rPr>
          <w:rFonts w:ascii="Calibri" w:hAnsi="Calibri" w:cs="Calibri"/>
          <w:color w:val="222222"/>
          <w:shd w:val="clear" w:color="auto" w:fill="FFFFFF"/>
        </w:rPr>
        <w:t xml:space="preserve">% in </w:t>
      </w:r>
      <w:r w:rsidR="009615D9" w:rsidRPr="00A75BED">
        <w:rPr>
          <w:rFonts w:ascii="Calibri" w:hAnsi="Calibri" w:cs="Calibri"/>
          <w:color w:val="222222"/>
          <w:shd w:val="clear" w:color="auto" w:fill="FFFFFF"/>
        </w:rPr>
        <w:t>April</w:t>
      </w:r>
      <w:r w:rsidR="00157329" w:rsidRPr="00A75BED">
        <w:rPr>
          <w:rFonts w:ascii="Calibri" w:hAnsi="Calibri" w:cs="Calibri"/>
          <w:color w:val="222222"/>
          <w:shd w:val="clear" w:color="auto" w:fill="FFFFFF"/>
        </w:rPr>
        <w:t>.</w:t>
      </w:r>
      <w:r w:rsidR="00A352A1" w:rsidRPr="00A75BED">
        <w:rPr>
          <w:rFonts w:ascii="Calibri" w:hAnsi="Calibri" w:cs="Calibri"/>
          <w:color w:val="222222"/>
          <w:shd w:val="clear" w:color="auto" w:fill="FFFFFF"/>
        </w:rPr>
        <w:t xml:space="preserve"> </w:t>
      </w:r>
      <w:r w:rsidR="00B6680A" w:rsidRPr="00A75BED">
        <w:rPr>
          <w:rFonts w:ascii="Calibri" w:hAnsi="Calibri" w:cs="Calibri"/>
          <w:color w:val="222222"/>
          <w:shd w:val="clear" w:color="auto" w:fill="FFFFFF"/>
        </w:rPr>
        <w:t xml:space="preserve">The RBA board </w:t>
      </w:r>
      <w:r w:rsidR="000C0E73" w:rsidRPr="00A75BED">
        <w:rPr>
          <w:rFonts w:ascii="Calibri" w:hAnsi="Calibri" w:cs="Calibri"/>
          <w:color w:val="222222"/>
          <w:shd w:val="clear" w:color="auto" w:fill="FFFFFF"/>
        </w:rPr>
        <w:t xml:space="preserve">is set to </w:t>
      </w:r>
      <w:r w:rsidR="00B6680A" w:rsidRPr="00A75BED">
        <w:rPr>
          <w:rFonts w:ascii="Calibri" w:hAnsi="Calibri" w:cs="Calibri"/>
          <w:color w:val="222222"/>
          <w:shd w:val="clear" w:color="auto" w:fill="FFFFFF"/>
        </w:rPr>
        <w:t>meet</w:t>
      </w:r>
      <w:r w:rsidR="000C0E73" w:rsidRPr="00A75BED">
        <w:rPr>
          <w:rFonts w:ascii="Calibri" w:hAnsi="Calibri" w:cs="Calibri"/>
          <w:color w:val="222222"/>
          <w:shd w:val="clear" w:color="auto" w:fill="FFFFFF"/>
        </w:rPr>
        <w:t xml:space="preserve"> on the </w:t>
      </w:r>
      <w:r w:rsidR="000C47EA" w:rsidRPr="00A75BED">
        <w:rPr>
          <w:rFonts w:ascii="Calibri" w:hAnsi="Calibri" w:cs="Calibri"/>
          <w:color w:val="222222"/>
          <w:shd w:val="clear" w:color="auto" w:fill="FFFFFF"/>
        </w:rPr>
        <w:t>1</w:t>
      </w:r>
      <w:r w:rsidR="002B2F9B" w:rsidRPr="00A75BED">
        <w:rPr>
          <w:rFonts w:ascii="Calibri" w:hAnsi="Calibri" w:cs="Calibri"/>
          <w:color w:val="222222"/>
          <w:shd w:val="clear" w:color="auto" w:fill="FFFFFF"/>
        </w:rPr>
        <w:t>0</w:t>
      </w:r>
      <w:r w:rsidR="00364625" w:rsidRPr="00A75BED">
        <w:rPr>
          <w:rFonts w:ascii="Calibri" w:hAnsi="Calibri" w:cs="Calibri"/>
          <w:color w:val="222222"/>
          <w:shd w:val="clear" w:color="auto" w:fill="FFFFFF"/>
          <w:vertAlign w:val="superscript"/>
        </w:rPr>
        <w:t>th</w:t>
      </w:r>
      <w:r w:rsidR="000C0E73" w:rsidRPr="00A75BED">
        <w:rPr>
          <w:rFonts w:ascii="Calibri" w:hAnsi="Calibri" w:cs="Calibri"/>
          <w:color w:val="222222"/>
          <w:shd w:val="clear" w:color="auto" w:fill="FFFFFF"/>
        </w:rPr>
        <w:t>/</w:t>
      </w:r>
      <w:r w:rsidR="000C47EA" w:rsidRPr="00A75BED">
        <w:rPr>
          <w:rFonts w:ascii="Calibri" w:hAnsi="Calibri" w:cs="Calibri"/>
          <w:color w:val="222222"/>
          <w:shd w:val="clear" w:color="auto" w:fill="FFFFFF"/>
        </w:rPr>
        <w:t>1</w:t>
      </w:r>
      <w:r w:rsidR="002B2F9B" w:rsidRPr="00A75BED">
        <w:rPr>
          <w:rFonts w:ascii="Calibri" w:hAnsi="Calibri" w:cs="Calibri"/>
          <w:color w:val="222222"/>
          <w:shd w:val="clear" w:color="auto" w:fill="FFFFFF"/>
        </w:rPr>
        <w:t>1</w:t>
      </w:r>
      <w:r w:rsidR="00364625" w:rsidRPr="00A75BED">
        <w:rPr>
          <w:rFonts w:ascii="Calibri" w:hAnsi="Calibri" w:cs="Calibri"/>
          <w:color w:val="222222"/>
          <w:shd w:val="clear" w:color="auto" w:fill="FFFFFF"/>
          <w:vertAlign w:val="superscript"/>
        </w:rPr>
        <w:t>th</w:t>
      </w:r>
      <w:r w:rsidR="000C0E73" w:rsidRPr="00A75BED">
        <w:rPr>
          <w:rFonts w:ascii="Calibri" w:hAnsi="Calibri" w:cs="Calibri"/>
          <w:color w:val="222222"/>
          <w:shd w:val="clear" w:color="auto" w:fill="FFFFFF"/>
        </w:rPr>
        <w:t xml:space="preserve"> </w:t>
      </w:r>
      <w:r w:rsidR="002B2F9B" w:rsidRPr="00A75BED">
        <w:rPr>
          <w:rFonts w:ascii="Calibri" w:hAnsi="Calibri" w:cs="Calibri"/>
          <w:color w:val="222222"/>
          <w:shd w:val="clear" w:color="auto" w:fill="FFFFFF"/>
        </w:rPr>
        <w:t>August</w:t>
      </w:r>
      <w:r w:rsidR="007A1D0B" w:rsidRPr="00A75BED">
        <w:rPr>
          <w:rFonts w:ascii="Calibri" w:hAnsi="Calibri" w:cs="Calibri"/>
          <w:color w:val="222222"/>
          <w:shd w:val="clear" w:color="auto" w:fill="FFFFFF"/>
        </w:rPr>
        <w:t xml:space="preserve"> </w:t>
      </w:r>
      <w:r w:rsidR="009157C3" w:rsidRPr="00A75BED">
        <w:rPr>
          <w:rFonts w:ascii="Calibri" w:hAnsi="Calibri" w:cs="Calibri"/>
          <w:color w:val="222222"/>
          <w:shd w:val="clear" w:color="auto" w:fill="FFFFFF"/>
        </w:rPr>
        <w:t>2026, w</w:t>
      </w:r>
      <w:r w:rsidR="00123BD7" w:rsidRPr="00A75BED">
        <w:rPr>
          <w:rFonts w:ascii="Calibri" w:hAnsi="Calibri" w:cs="Calibri"/>
          <w:color w:val="222222"/>
          <w:shd w:val="clear" w:color="auto" w:fill="FFFFFF"/>
        </w:rPr>
        <w:t xml:space="preserve">ith </w:t>
      </w:r>
      <w:r w:rsidR="00C91CDE" w:rsidRPr="00A75BED">
        <w:rPr>
          <w:rFonts w:ascii="Calibri" w:hAnsi="Calibri" w:cs="Calibri"/>
          <w:color w:val="222222"/>
          <w:shd w:val="clear" w:color="auto" w:fill="FFFFFF"/>
        </w:rPr>
        <w:t xml:space="preserve">the </w:t>
      </w:r>
      <w:r w:rsidR="00123BD7" w:rsidRPr="00A75BED">
        <w:rPr>
          <w:rFonts w:ascii="Calibri" w:hAnsi="Calibri" w:cs="Calibri"/>
          <w:color w:val="222222"/>
          <w:shd w:val="clear" w:color="auto" w:fill="FFFFFF"/>
        </w:rPr>
        <w:t xml:space="preserve">market </w:t>
      </w:r>
      <w:r w:rsidR="000C47EA" w:rsidRPr="00A75BED">
        <w:rPr>
          <w:rFonts w:ascii="Calibri" w:hAnsi="Calibri" w:cs="Calibri"/>
          <w:color w:val="222222"/>
          <w:shd w:val="clear" w:color="auto" w:fill="FFFFFF"/>
        </w:rPr>
        <w:t>half-pricing</w:t>
      </w:r>
      <w:r w:rsidR="00123BD7" w:rsidRPr="00A75BED">
        <w:rPr>
          <w:rFonts w:ascii="Calibri" w:hAnsi="Calibri" w:cs="Calibri"/>
          <w:color w:val="222222"/>
          <w:shd w:val="clear" w:color="auto" w:fill="FFFFFF"/>
        </w:rPr>
        <w:t xml:space="preserve"> a +25bps rate hike</w:t>
      </w:r>
      <w:r w:rsidR="009157C3" w:rsidRPr="00A75BED">
        <w:rPr>
          <w:rFonts w:ascii="Calibri" w:hAnsi="Calibri" w:cs="Calibri"/>
          <w:color w:val="222222"/>
          <w:shd w:val="clear" w:color="auto" w:fill="FFFFFF"/>
        </w:rPr>
        <w:t xml:space="preserve"> to </w:t>
      </w:r>
      <w:r w:rsidR="00364625" w:rsidRPr="00A75BED">
        <w:rPr>
          <w:rFonts w:ascii="Calibri" w:hAnsi="Calibri" w:cs="Calibri"/>
          <w:color w:val="222222"/>
          <w:shd w:val="clear" w:color="auto" w:fill="FFFFFF"/>
        </w:rPr>
        <w:t>4.</w:t>
      </w:r>
      <w:r w:rsidR="008D79D8" w:rsidRPr="00A75BED">
        <w:rPr>
          <w:rFonts w:ascii="Calibri" w:hAnsi="Calibri" w:cs="Calibri"/>
          <w:color w:val="222222"/>
          <w:shd w:val="clear" w:color="auto" w:fill="FFFFFF"/>
        </w:rPr>
        <w:t>60</w:t>
      </w:r>
      <w:r w:rsidR="00794A13" w:rsidRPr="00A75BED">
        <w:rPr>
          <w:rFonts w:ascii="Calibri" w:hAnsi="Calibri" w:cs="Calibri"/>
          <w:color w:val="222222"/>
          <w:shd w:val="clear" w:color="auto" w:fill="FFFFFF"/>
        </w:rPr>
        <w:t>%.</w:t>
      </w:r>
    </w:p>
    <w:p w14:paraId="68131F76" w14:textId="696D8076" w:rsidR="00D72B03" w:rsidRPr="00A75BED" w:rsidRDefault="007B7DEB" w:rsidP="007152C2">
      <w:pPr>
        <w:jc w:val="both"/>
        <w:rPr>
          <w:rFonts w:ascii="Calibri" w:hAnsi="Calibri" w:cs="Calibri"/>
          <w:b/>
          <w:bCs/>
        </w:rPr>
      </w:pPr>
      <w:r w:rsidRPr="00A75BED">
        <w:rPr>
          <w:rFonts w:ascii="Calibri" w:hAnsi="Calibri" w:cs="Calibri"/>
          <w:b/>
          <w:bCs/>
        </w:rPr>
        <w:t>Investment</w:t>
      </w:r>
      <w:r w:rsidR="00D72B03" w:rsidRPr="00A75BED">
        <w:rPr>
          <w:rFonts w:ascii="Calibri" w:hAnsi="Calibri" w:cs="Calibri"/>
          <w:b/>
          <w:bCs/>
        </w:rPr>
        <w:t xml:space="preserve"> Climate</w:t>
      </w:r>
    </w:p>
    <w:p w14:paraId="49DA26EF" w14:textId="10674697" w:rsidR="00D91906" w:rsidRPr="00A75BED" w:rsidRDefault="00565B81" w:rsidP="00B24C6B">
      <w:pPr>
        <w:jc w:val="both"/>
        <w:rPr>
          <w:rFonts w:ascii="Calibri" w:hAnsi="Calibri" w:cs="Calibri"/>
        </w:rPr>
      </w:pPr>
      <w:r w:rsidRPr="00A75BED">
        <w:rPr>
          <w:rFonts w:ascii="Calibri" w:hAnsi="Calibri" w:cs="Calibri"/>
        </w:rPr>
        <w:t>U</w:t>
      </w:r>
      <w:r w:rsidR="007F0629" w:rsidRPr="00A75BED">
        <w:rPr>
          <w:rFonts w:ascii="Calibri" w:hAnsi="Calibri" w:cs="Calibri"/>
        </w:rPr>
        <w:t>.S.</w:t>
      </w:r>
      <w:r w:rsidRPr="00A75BED">
        <w:rPr>
          <w:rFonts w:ascii="Calibri" w:hAnsi="Calibri" w:cs="Calibri"/>
        </w:rPr>
        <w:t xml:space="preserve"> equities </w:t>
      </w:r>
      <w:r w:rsidR="00D03235" w:rsidRPr="00A75BED">
        <w:rPr>
          <w:rFonts w:ascii="Calibri" w:hAnsi="Calibri" w:cs="Calibri"/>
        </w:rPr>
        <w:t xml:space="preserve">posted a </w:t>
      </w:r>
      <w:r w:rsidR="00132D61" w:rsidRPr="00A75BED">
        <w:rPr>
          <w:rFonts w:ascii="Calibri" w:hAnsi="Calibri" w:cs="Calibri"/>
        </w:rPr>
        <w:t xml:space="preserve">slightly </w:t>
      </w:r>
      <w:r w:rsidR="00D03456" w:rsidRPr="00A75BED">
        <w:rPr>
          <w:rFonts w:ascii="Calibri" w:hAnsi="Calibri" w:cs="Calibri"/>
        </w:rPr>
        <w:t>down month for June</w:t>
      </w:r>
      <w:r w:rsidR="0094515D" w:rsidRPr="00A75BED">
        <w:rPr>
          <w:rFonts w:ascii="Calibri" w:hAnsi="Calibri" w:cs="Calibri"/>
        </w:rPr>
        <w:t xml:space="preserve"> </w:t>
      </w:r>
      <w:r w:rsidRPr="00A75BED">
        <w:rPr>
          <w:rFonts w:ascii="Calibri" w:hAnsi="Calibri" w:cs="Calibri"/>
        </w:rPr>
        <w:t>202</w:t>
      </w:r>
      <w:r w:rsidR="00AB0CF7" w:rsidRPr="00A75BED">
        <w:rPr>
          <w:rFonts w:ascii="Calibri" w:hAnsi="Calibri" w:cs="Calibri"/>
        </w:rPr>
        <w:t>6</w:t>
      </w:r>
      <w:r w:rsidRPr="00A75BED">
        <w:rPr>
          <w:rFonts w:ascii="Calibri" w:hAnsi="Calibri" w:cs="Calibri"/>
        </w:rPr>
        <w:t xml:space="preserve"> </w:t>
      </w:r>
      <w:r w:rsidR="0094515D" w:rsidRPr="00A75BED">
        <w:rPr>
          <w:rFonts w:ascii="Calibri" w:hAnsi="Calibri" w:cs="Calibri"/>
        </w:rPr>
        <w:t xml:space="preserve">as </w:t>
      </w:r>
      <w:r w:rsidR="00D03456" w:rsidRPr="00A75BED">
        <w:rPr>
          <w:rFonts w:ascii="Calibri" w:hAnsi="Calibri" w:cs="Calibri"/>
        </w:rPr>
        <w:t>investors stepped back from the aggressive positioning that dominated early</w:t>
      </w:r>
      <w:r w:rsidR="00D03456" w:rsidRPr="00A75BED">
        <w:rPr>
          <w:rFonts w:ascii="Calibri" w:hAnsi="Calibri" w:cs="Calibri"/>
        </w:rPr>
        <w:noBreakHyphen/>
        <w:t>year trading and shifted toward balance</w:t>
      </w:r>
      <w:r w:rsidR="00D03456" w:rsidRPr="00A75BED">
        <w:rPr>
          <w:rFonts w:ascii="Calibri" w:hAnsi="Calibri" w:cs="Calibri"/>
        </w:rPr>
        <w:noBreakHyphen/>
        <w:t>sheet strength, cash</w:t>
      </w:r>
      <w:r w:rsidR="00D03456" w:rsidRPr="00A75BED">
        <w:rPr>
          <w:rFonts w:ascii="Calibri" w:hAnsi="Calibri" w:cs="Calibri"/>
        </w:rPr>
        <w:noBreakHyphen/>
        <w:t>flow visibility, and defensiveness.</w:t>
      </w:r>
      <w:r w:rsidR="000E5B37" w:rsidRPr="00A75BED">
        <w:rPr>
          <w:rFonts w:ascii="Calibri" w:hAnsi="Calibri" w:cs="Calibri"/>
        </w:rPr>
        <w:t xml:space="preserve"> </w:t>
      </w:r>
      <w:r w:rsidR="00D91906" w:rsidRPr="00A75BED">
        <w:rPr>
          <w:rFonts w:ascii="Calibri" w:hAnsi="Calibri" w:cs="Calibri"/>
        </w:rPr>
        <w:t xml:space="preserve">This was driven primarily by the -20% </w:t>
      </w:r>
      <w:r w:rsidR="008F0F67" w:rsidRPr="00A75BED">
        <w:rPr>
          <w:rFonts w:ascii="Calibri" w:hAnsi="Calibri" w:cs="Calibri"/>
        </w:rPr>
        <w:t xml:space="preserve">fall in the oil price, more questions about </w:t>
      </w:r>
      <w:r w:rsidR="00FC0866" w:rsidRPr="00A75BED">
        <w:rPr>
          <w:rFonts w:ascii="Calibri" w:hAnsi="Calibri" w:cs="Calibri"/>
        </w:rPr>
        <w:t xml:space="preserve">expected returns on </w:t>
      </w:r>
      <w:r w:rsidR="00EE3E65" w:rsidRPr="00A75BED">
        <w:rPr>
          <w:rFonts w:ascii="Calibri" w:hAnsi="Calibri" w:cs="Calibri"/>
        </w:rPr>
        <w:t>AI-related capital investment, and a more hawkish sentiment coming from the US Federal Reserve following a higher inflation print during the month.</w:t>
      </w:r>
      <w:r w:rsidR="009E46A2" w:rsidRPr="00A75BED">
        <w:rPr>
          <w:rFonts w:ascii="Calibri" w:hAnsi="Calibri" w:cs="Calibri"/>
        </w:rPr>
        <w:t xml:space="preserve"> </w:t>
      </w:r>
      <w:r w:rsidR="00F23A1A">
        <w:rPr>
          <w:rFonts w:ascii="Calibri" w:hAnsi="Calibri" w:cs="Calibri"/>
        </w:rPr>
        <w:t xml:space="preserve">The </w:t>
      </w:r>
      <w:r w:rsidR="009E46A2" w:rsidRPr="00A75BED">
        <w:rPr>
          <w:rFonts w:ascii="Calibri" w:hAnsi="Calibri" w:cs="Calibri"/>
        </w:rPr>
        <w:t xml:space="preserve">US </w:t>
      </w:r>
      <w:r w:rsidR="009E46A2" w:rsidRPr="00A75BED">
        <w:rPr>
          <w:rFonts w:ascii="Calibri" w:hAnsi="Calibri" w:cs="Calibri"/>
        </w:rPr>
        <w:lastRenderedPageBreak/>
        <w:t>e</w:t>
      </w:r>
      <w:r w:rsidR="008214AF" w:rsidRPr="00A75BED">
        <w:rPr>
          <w:rFonts w:ascii="Calibri" w:hAnsi="Calibri" w:cs="Calibri"/>
        </w:rPr>
        <w:t xml:space="preserve">arnings season begins in July, which will provide the market with a </w:t>
      </w:r>
      <w:r w:rsidR="00A75BED" w:rsidRPr="00A75BED">
        <w:rPr>
          <w:rFonts w:ascii="Calibri" w:hAnsi="Calibri" w:cs="Calibri"/>
        </w:rPr>
        <w:t>clearer understanding of how the underlying economy is operating.</w:t>
      </w:r>
    </w:p>
    <w:p w14:paraId="63B9D1C4" w14:textId="7C16AE51" w:rsidR="00B24C6B" w:rsidRPr="00A75BED" w:rsidRDefault="00324C90" w:rsidP="007152C2">
      <w:pPr>
        <w:spacing w:before="120" w:after="120"/>
        <w:jc w:val="both"/>
        <w:rPr>
          <w:rFonts w:ascii="Calibri" w:hAnsi="Calibri" w:cs="Calibri"/>
        </w:rPr>
      </w:pPr>
      <w:r w:rsidRPr="00A75BED">
        <w:rPr>
          <w:rFonts w:ascii="Calibri" w:hAnsi="Calibri" w:cs="Calibri"/>
          <w:b/>
          <w:bCs/>
        </w:rPr>
        <w:t>Over the medium</w:t>
      </w:r>
      <w:r w:rsidR="00682D89" w:rsidRPr="00A75BED">
        <w:rPr>
          <w:rFonts w:ascii="Calibri" w:hAnsi="Calibri" w:cs="Calibri"/>
          <w:b/>
          <w:bCs/>
        </w:rPr>
        <w:t xml:space="preserve"> term,</w:t>
      </w:r>
      <w:r w:rsidR="00682D89" w:rsidRPr="00A75BED">
        <w:rPr>
          <w:rFonts w:ascii="Calibri" w:hAnsi="Calibri" w:cs="Calibri"/>
        </w:rPr>
        <w:t xml:space="preserve"> investors are encouraged by the anticipated productivity benefits from AI and the </w:t>
      </w:r>
      <w:proofErr w:type="spellStart"/>
      <w:r w:rsidR="00682D89" w:rsidRPr="00A75BED">
        <w:rPr>
          <w:rFonts w:ascii="Calibri" w:hAnsi="Calibri" w:cs="Calibri"/>
        </w:rPr>
        <w:t>hyperscalers</w:t>
      </w:r>
      <w:proofErr w:type="spellEnd"/>
      <w:r w:rsidR="00682D89" w:rsidRPr="00A75BED">
        <w:rPr>
          <w:rFonts w:ascii="Calibri" w:hAnsi="Calibri" w:cs="Calibri"/>
        </w:rPr>
        <w:t>' investments in AI</w:t>
      </w:r>
      <w:r w:rsidR="003839DD" w:rsidRPr="00A75BED">
        <w:rPr>
          <w:rFonts w:ascii="Calibri" w:hAnsi="Calibri" w:cs="Calibri"/>
        </w:rPr>
        <w:t>.</w:t>
      </w:r>
      <w:r w:rsidR="004B71B4" w:rsidRPr="00A75BED">
        <w:rPr>
          <w:rFonts w:ascii="Calibri" w:hAnsi="Calibri" w:cs="Calibri"/>
        </w:rPr>
        <w:t xml:space="preserve"> </w:t>
      </w:r>
      <w:r w:rsidR="00795532" w:rsidRPr="00A75BED">
        <w:rPr>
          <w:rFonts w:ascii="Calibri" w:hAnsi="Calibri" w:cs="Calibri"/>
        </w:rPr>
        <w:t>However,</w:t>
      </w:r>
      <w:r w:rsidR="00F14ABC" w:rsidRPr="00A75BED">
        <w:rPr>
          <w:rFonts w:ascii="Calibri" w:hAnsi="Calibri" w:cs="Calibri"/>
        </w:rPr>
        <w:t xml:space="preserve"> with the unsettled nature of the bond markets due to the war in Iran</w:t>
      </w:r>
      <w:r w:rsidR="00682D89" w:rsidRPr="00A75BED">
        <w:rPr>
          <w:rFonts w:ascii="Calibri" w:hAnsi="Calibri" w:cs="Calibri"/>
        </w:rPr>
        <w:t>,</w:t>
      </w:r>
      <w:r w:rsidR="00F14ABC" w:rsidRPr="00A75BED">
        <w:rPr>
          <w:rFonts w:ascii="Calibri" w:hAnsi="Calibri" w:cs="Calibri"/>
        </w:rPr>
        <w:t xml:space="preserve"> </w:t>
      </w:r>
      <w:r w:rsidR="007E1F37" w:rsidRPr="00A75BED">
        <w:rPr>
          <w:rFonts w:ascii="Calibri" w:hAnsi="Calibri" w:cs="Calibri"/>
        </w:rPr>
        <w:t xml:space="preserve">the short term </w:t>
      </w:r>
      <w:r w:rsidR="000F2A98" w:rsidRPr="00A75BED">
        <w:rPr>
          <w:rFonts w:ascii="Calibri" w:hAnsi="Calibri" w:cs="Calibri"/>
        </w:rPr>
        <w:t xml:space="preserve">has put </w:t>
      </w:r>
      <w:r w:rsidR="00682D89" w:rsidRPr="00A75BED">
        <w:rPr>
          <w:rFonts w:ascii="Calibri" w:hAnsi="Calibri" w:cs="Calibri"/>
        </w:rPr>
        <w:t>the</w:t>
      </w:r>
      <w:r w:rsidR="000F2A98" w:rsidRPr="00A75BED">
        <w:rPr>
          <w:rFonts w:ascii="Calibri" w:hAnsi="Calibri" w:cs="Calibri"/>
        </w:rPr>
        <w:t xml:space="preserve"> handbrake on the level of </w:t>
      </w:r>
      <w:r w:rsidR="00795532" w:rsidRPr="00A75BED">
        <w:rPr>
          <w:rFonts w:ascii="Calibri" w:hAnsi="Calibri" w:cs="Calibri"/>
        </w:rPr>
        <w:t>encouragement</w:t>
      </w:r>
      <w:r w:rsidR="000F2A98" w:rsidRPr="00A75BED">
        <w:rPr>
          <w:rFonts w:ascii="Calibri" w:hAnsi="Calibri" w:cs="Calibri"/>
        </w:rPr>
        <w:t>.</w:t>
      </w:r>
      <w:r w:rsidR="00FA047F" w:rsidRPr="00A75BED">
        <w:rPr>
          <w:rFonts w:ascii="Calibri" w:hAnsi="Calibri" w:cs="Calibri"/>
        </w:rPr>
        <w:t xml:space="preserve"> If the US </w:t>
      </w:r>
      <w:r w:rsidR="00227A9E" w:rsidRPr="00A75BED">
        <w:rPr>
          <w:rFonts w:ascii="Calibri" w:hAnsi="Calibri" w:cs="Calibri"/>
        </w:rPr>
        <w:t xml:space="preserve">changes its tone and begins </w:t>
      </w:r>
      <w:r w:rsidR="00682D89" w:rsidRPr="00A75BED">
        <w:rPr>
          <w:rFonts w:ascii="Calibri" w:hAnsi="Calibri" w:cs="Calibri"/>
        </w:rPr>
        <w:t>raising interest rates under its new Federal Chairman, Kevin Warsh, the medium term could</w:t>
      </w:r>
      <w:r w:rsidR="005B1C49" w:rsidRPr="00A75BED">
        <w:rPr>
          <w:rFonts w:ascii="Calibri" w:hAnsi="Calibri" w:cs="Calibri"/>
        </w:rPr>
        <w:t xml:space="preserve"> become </w:t>
      </w:r>
      <w:r w:rsidR="00885A88" w:rsidRPr="00A75BED">
        <w:rPr>
          <w:rFonts w:ascii="Calibri" w:hAnsi="Calibri" w:cs="Calibri"/>
        </w:rPr>
        <w:t xml:space="preserve">much </w:t>
      </w:r>
      <w:r w:rsidR="005D742C" w:rsidRPr="00A75BED">
        <w:rPr>
          <w:rFonts w:ascii="Calibri" w:hAnsi="Calibri" w:cs="Calibri"/>
        </w:rPr>
        <w:t>less encouraging.</w:t>
      </w:r>
    </w:p>
    <w:p w14:paraId="024D1376" w14:textId="3B8E92F6" w:rsidR="00524F93" w:rsidRPr="00A75BED" w:rsidRDefault="00524F93" w:rsidP="007152C2">
      <w:pPr>
        <w:jc w:val="both"/>
        <w:rPr>
          <w:rFonts w:ascii="Calibri" w:hAnsi="Calibri" w:cs="Calibri"/>
        </w:rPr>
      </w:pPr>
      <w:r w:rsidRPr="00A75BED">
        <w:rPr>
          <w:rFonts w:ascii="Calibri" w:hAnsi="Calibri" w:cs="Calibri"/>
          <w:b/>
          <w:bCs/>
        </w:rPr>
        <w:t>Long</w:t>
      </w:r>
      <w:r w:rsidR="00805A87" w:rsidRPr="00A75BED">
        <w:rPr>
          <w:rFonts w:ascii="Calibri" w:hAnsi="Calibri" w:cs="Calibri"/>
          <w:b/>
          <w:bCs/>
        </w:rPr>
        <w:t>-</w:t>
      </w:r>
      <w:r w:rsidRPr="00A75BED">
        <w:rPr>
          <w:rFonts w:ascii="Calibri" w:hAnsi="Calibri" w:cs="Calibri"/>
          <w:b/>
          <w:bCs/>
        </w:rPr>
        <w:t xml:space="preserve">term </w:t>
      </w:r>
      <w:r w:rsidR="0089672B" w:rsidRPr="00A75BED">
        <w:rPr>
          <w:rFonts w:ascii="Calibri" w:hAnsi="Calibri" w:cs="Calibri"/>
          <w:b/>
          <w:bCs/>
        </w:rPr>
        <w:t>investors</w:t>
      </w:r>
      <w:r w:rsidRPr="00A75BED">
        <w:rPr>
          <w:rFonts w:ascii="Calibri" w:hAnsi="Calibri" w:cs="Calibri"/>
          <w:b/>
          <w:bCs/>
        </w:rPr>
        <w:t xml:space="preserve"> </w:t>
      </w:r>
      <w:r w:rsidR="007C64CC" w:rsidRPr="00A75BED">
        <w:rPr>
          <w:rFonts w:ascii="Calibri" w:hAnsi="Calibri" w:cs="Calibri"/>
          <w:b/>
          <w:bCs/>
        </w:rPr>
        <w:t xml:space="preserve">are </w:t>
      </w:r>
      <w:r w:rsidR="00B232A3" w:rsidRPr="00A75BED">
        <w:rPr>
          <w:rFonts w:ascii="Calibri" w:hAnsi="Calibri" w:cs="Calibri"/>
          <w:b/>
          <w:bCs/>
        </w:rPr>
        <w:t>cautiously optimistic</w:t>
      </w:r>
      <w:r w:rsidRPr="00A75BED">
        <w:rPr>
          <w:rFonts w:ascii="Calibri" w:hAnsi="Calibri" w:cs="Calibri"/>
        </w:rPr>
        <w:t xml:space="preserve"> </w:t>
      </w:r>
      <w:r w:rsidR="00805A87" w:rsidRPr="00A75BED">
        <w:rPr>
          <w:rFonts w:ascii="Calibri" w:hAnsi="Calibri" w:cs="Calibri"/>
        </w:rPr>
        <w:t>about</w:t>
      </w:r>
      <w:r w:rsidRPr="00A75BED">
        <w:rPr>
          <w:rFonts w:ascii="Calibri" w:hAnsi="Calibri" w:cs="Calibri"/>
        </w:rPr>
        <w:t xml:space="preserve"> a </w:t>
      </w:r>
      <w:r w:rsidR="005D2FDE" w:rsidRPr="00A75BED">
        <w:rPr>
          <w:rFonts w:ascii="Calibri" w:hAnsi="Calibri" w:cs="Calibri"/>
        </w:rPr>
        <w:t xml:space="preserve">recovery </w:t>
      </w:r>
      <w:r w:rsidRPr="00A75BED">
        <w:rPr>
          <w:rFonts w:ascii="Calibri" w:hAnsi="Calibri" w:cs="Calibri"/>
        </w:rPr>
        <w:t xml:space="preserve">period ahead. Global </w:t>
      </w:r>
      <w:r w:rsidR="00805A87" w:rsidRPr="00A75BED">
        <w:rPr>
          <w:rFonts w:ascii="Calibri" w:hAnsi="Calibri" w:cs="Calibri"/>
        </w:rPr>
        <w:t xml:space="preserve">central banks continue to </w:t>
      </w:r>
      <w:r w:rsidR="00F23A1A">
        <w:rPr>
          <w:rFonts w:ascii="Calibri" w:hAnsi="Calibri" w:cs="Calibri"/>
        </w:rPr>
        <w:t xml:space="preserve">signal their resolve to bring inflation under control; however, economic data show signs of stabilisation despite elevated inflation, which could prompt </w:t>
      </w:r>
      <w:proofErr w:type="gramStart"/>
      <w:r w:rsidR="00F23A1A">
        <w:rPr>
          <w:rFonts w:ascii="Calibri" w:hAnsi="Calibri" w:cs="Calibri"/>
        </w:rPr>
        <w:t>central</w:t>
      </w:r>
      <w:proofErr w:type="gramEnd"/>
      <w:r w:rsidR="00F23A1A">
        <w:rPr>
          <w:rFonts w:ascii="Calibri" w:hAnsi="Calibri" w:cs="Calibri"/>
        </w:rPr>
        <w:t xml:space="preserve"> banks to raise</w:t>
      </w:r>
      <w:r w:rsidR="00827D99" w:rsidRPr="00A75BED">
        <w:rPr>
          <w:rFonts w:ascii="Calibri" w:hAnsi="Calibri" w:cs="Calibri"/>
        </w:rPr>
        <w:t xml:space="preserve"> interest rates</w:t>
      </w:r>
      <w:r w:rsidR="00532202" w:rsidRPr="00A75BED">
        <w:rPr>
          <w:rFonts w:ascii="Calibri" w:hAnsi="Calibri" w:cs="Calibri"/>
        </w:rPr>
        <w:t xml:space="preserve"> in</w:t>
      </w:r>
      <w:r w:rsidR="00665AF3" w:rsidRPr="00A75BED">
        <w:rPr>
          <w:rFonts w:ascii="Calibri" w:hAnsi="Calibri" w:cs="Calibri"/>
        </w:rPr>
        <w:t xml:space="preserve"> 202</w:t>
      </w:r>
      <w:r w:rsidR="00254666" w:rsidRPr="00A75BED">
        <w:rPr>
          <w:rFonts w:ascii="Calibri" w:hAnsi="Calibri" w:cs="Calibri"/>
        </w:rPr>
        <w:t>6</w:t>
      </w:r>
      <w:r w:rsidR="007C64CC" w:rsidRPr="00A75BED">
        <w:rPr>
          <w:rFonts w:ascii="Calibri" w:hAnsi="Calibri" w:cs="Calibri"/>
        </w:rPr>
        <w:t xml:space="preserve">. </w:t>
      </w:r>
    </w:p>
    <w:p w14:paraId="6F8EECA2" w14:textId="4F5402B7" w:rsidR="00025089" w:rsidRPr="00A75BED" w:rsidRDefault="00025089" w:rsidP="007152C2">
      <w:pPr>
        <w:spacing w:before="120" w:after="120" w:line="240" w:lineRule="auto"/>
        <w:jc w:val="both"/>
        <w:rPr>
          <w:rFonts w:ascii="Calibri" w:hAnsi="Calibri" w:cs="Calibri"/>
          <w:b/>
          <w:bCs/>
        </w:rPr>
      </w:pPr>
      <w:r w:rsidRPr="00A75BED">
        <w:rPr>
          <w:rFonts w:ascii="Calibri" w:hAnsi="Calibri" w:cs="Calibri"/>
          <w:b/>
          <w:bCs/>
        </w:rPr>
        <w:t xml:space="preserve">The following commentary is based on month-end closing prices as </w:t>
      </w:r>
      <w:r w:rsidR="00E97818" w:rsidRPr="00A75BED">
        <w:rPr>
          <w:rFonts w:ascii="Calibri" w:hAnsi="Calibri" w:cs="Calibri"/>
          <w:b/>
          <w:bCs/>
        </w:rPr>
        <w:t>of</w:t>
      </w:r>
      <w:r w:rsidRPr="00A75BED">
        <w:rPr>
          <w:rFonts w:ascii="Calibri" w:hAnsi="Calibri" w:cs="Calibri"/>
          <w:b/>
          <w:bCs/>
        </w:rPr>
        <w:t xml:space="preserve"> </w:t>
      </w:r>
      <w:r w:rsidR="00E86106" w:rsidRPr="00A75BED">
        <w:rPr>
          <w:rFonts w:ascii="Calibri" w:hAnsi="Calibri" w:cs="Calibri"/>
          <w:b/>
          <w:bCs/>
        </w:rPr>
        <w:t>June</w:t>
      </w:r>
      <w:r w:rsidR="00532202" w:rsidRPr="00A75BED">
        <w:rPr>
          <w:rFonts w:ascii="Calibri" w:hAnsi="Calibri" w:cs="Calibri"/>
          <w:b/>
          <w:bCs/>
        </w:rPr>
        <w:t xml:space="preserve"> </w:t>
      </w:r>
      <w:r w:rsidR="000749F7" w:rsidRPr="00A75BED">
        <w:rPr>
          <w:rFonts w:ascii="Calibri" w:hAnsi="Calibri" w:cs="Calibri"/>
          <w:b/>
          <w:bCs/>
        </w:rPr>
        <w:t>3</w:t>
      </w:r>
      <w:r w:rsidR="00E86106" w:rsidRPr="00A75BED">
        <w:rPr>
          <w:rFonts w:ascii="Calibri" w:hAnsi="Calibri" w:cs="Calibri"/>
          <w:b/>
          <w:bCs/>
        </w:rPr>
        <w:t>0</w:t>
      </w:r>
      <w:r w:rsidR="00FA6C5E" w:rsidRPr="00A75BED">
        <w:rPr>
          <w:rFonts w:ascii="Calibri" w:hAnsi="Calibri" w:cs="Calibri"/>
          <w:b/>
          <w:bCs/>
        </w:rPr>
        <w:t>,</w:t>
      </w:r>
      <w:r w:rsidRPr="00A75BED">
        <w:rPr>
          <w:rFonts w:ascii="Calibri" w:hAnsi="Calibri" w:cs="Calibri"/>
          <w:b/>
          <w:bCs/>
        </w:rPr>
        <w:t xml:space="preserve"> </w:t>
      </w:r>
      <w:r w:rsidR="002F0E91" w:rsidRPr="00A75BED">
        <w:rPr>
          <w:rFonts w:ascii="Calibri" w:hAnsi="Calibri" w:cs="Calibri"/>
          <w:b/>
          <w:bCs/>
        </w:rPr>
        <w:t>202</w:t>
      </w:r>
      <w:r w:rsidR="00E03292" w:rsidRPr="00A75BED">
        <w:rPr>
          <w:rFonts w:ascii="Calibri" w:hAnsi="Calibri" w:cs="Calibri"/>
          <w:b/>
          <w:bCs/>
        </w:rPr>
        <w:t>6</w:t>
      </w:r>
      <w:r w:rsidR="00181027" w:rsidRPr="00A75BED">
        <w:rPr>
          <w:rFonts w:ascii="Calibri" w:hAnsi="Calibri" w:cs="Calibri"/>
          <w:b/>
          <w:bCs/>
        </w:rPr>
        <w:t>:</w:t>
      </w:r>
      <w:r w:rsidRPr="00A75BED">
        <w:rPr>
          <w:rFonts w:ascii="Calibri" w:hAnsi="Calibri" w:cs="Calibri"/>
          <w:b/>
          <w:bCs/>
        </w:rPr>
        <w:t xml:space="preserve"> </w:t>
      </w:r>
    </w:p>
    <w:p w14:paraId="1C9B1309" w14:textId="29CBAF37" w:rsidR="00A769F6" w:rsidRPr="00A75BED" w:rsidRDefault="007B239A" w:rsidP="007152C2">
      <w:pPr>
        <w:spacing w:before="120" w:after="120" w:line="240" w:lineRule="auto"/>
        <w:jc w:val="both"/>
        <w:rPr>
          <w:rFonts w:ascii="Calibri" w:hAnsi="Calibri" w:cs="Calibri"/>
        </w:rPr>
      </w:pPr>
      <w:r w:rsidRPr="00A75BED">
        <w:rPr>
          <w:rFonts w:ascii="Calibri" w:hAnsi="Calibri" w:cs="Calibri"/>
        </w:rPr>
        <w:t xml:space="preserve">Global </w:t>
      </w:r>
      <w:r w:rsidR="00CB2DF1" w:rsidRPr="00A75BED">
        <w:rPr>
          <w:rFonts w:ascii="Calibri" w:hAnsi="Calibri" w:cs="Calibri"/>
        </w:rPr>
        <w:t xml:space="preserve">share </w:t>
      </w:r>
      <w:r w:rsidR="00F82AE9" w:rsidRPr="00A75BED">
        <w:rPr>
          <w:rFonts w:ascii="Calibri" w:hAnsi="Calibri" w:cs="Calibri"/>
        </w:rPr>
        <w:t xml:space="preserve">markets </w:t>
      </w:r>
      <w:r w:rsidR="00E66A84" w:rsidRPr="00A75BED">
        <w:rPr>
          <w:rFonts w:ascii="Calibri" w:hAnsi="Calibri" w:cs="Calibri"/>
        </w:rPr>
        <w:t xml:space="preserve">were </w:t>
      </w:r>
      <w:r w:rsidR="00ED4E2F" w:rsidRPr="00A75BED">
        <w:rPr>
          <w:rFonts w:ascii="Calibri" w:hAnsi="Calibri" w:cs="Calibri"/>
        </w:rPr>
        <w:t>mostly weaker</w:t>
      </w:r>
      <w:r w:rsidR="004C57B4" w:rsidRPr="00A75BED">
        <w:rPr>
          <w:rFonts w:ascii="Calibri" w:hAnsi="Calibri" w:cs="Calibri"/>
        </w:rPr>
        <w:t xml:space="preserve"> </w:t>
      </w:r>
      <w:r w:rsidR="00123BD7" w:rsidRPr="00A75BED">
        <w:rPr>
          <w:rFonts w:ascii="Calibri" w:hAnsi="Calibri" w:cs="Calibri"/>
        </w:rPr>
        <w:t xml:space="preserve">in </w:t>
      </w:r>
      <w:r w:rsidR="00ED4E2F" w:rsidRPr="00A75BED">
        <w:rPr>
          <w:rFonts w:ascii="Calibri" w:hAnsi="Calibri" w:cs="Calibri"/>
        </w:rPr>
        <w:t>June</w:t>
      </w:r>
      <w:r w:rsidR="009A131A" w:rsidRPr="00A75BED">
        <w:rPr>
          <w:rFonts w:ascii="Calibri" w:hAnsi="Calibri" w:cs="Calibri"/>
        </w:rPr>
        <w:t>, except in Australia and Europe, where these markets have</w:t>
      </w:r>
      <w:r w:rsidR="00482CF2" w:rsidRPr="00A75BED">
        <w:rPr>
          <w:rFonts w:ascii="Calibri" w:hAnsi="Calibri" w:cs="Calibri"/>
        </w:rPr>
        <w:t xml:space="preserve"> less exposure </w:t>
      </w:r>
      <w:r w:rsidR="00DA5D5A" w:rsidRPr="00A75BED">
        <w:rPr>
          <w:rFonts w:ascii="Calibri" w:hAnsi="Calibri" w:cs="Calibri"/>
        </w:rPr>
        <w:t xml:space="preserve">to global technology players. </w:t>
      </w:r>
      <w:r w:rsidR="009A131A" w:rsidRPr="00A75BED">
        <w:rPr>
          <w:rFonts w:ascii="Calibri" w:hAnsi="Calibri" w:cs="Calibri"/>
        </w:rPr>
        <w:t>I</w:t>
      </w:r>
      <w:r w:rsidR="00CD19B7" w:rsidRPr="00A75BED">
        <w:rPr>
          <w:rFonts w:ascii="Calibri" w:hAnsi="Calibri" w:cs="Calibri"/>
        </w:rPr>
        <w:t>nvestors</w:t>
      </w:r>
      <w:r w:rsidR="009A131A" w:rsidRPr="00A75BED">
        <w:rPr>
          <w:rFonts w:ascii="Calibri" w:hAnsi="Calibri" w:cs="Calibri"/>
        </w:rPr>
        <w:t xml:space="preserve"> </w:t>
      </w:r>
      <w:r w:rsidR="009B046A" w:rsidRPr="00A75BED">
        <w:rPr>
          <w:rFonts w:ascii="Calibri" w:hAnsi="Calibri" w:cs="Calibri"/>
        </w:rPr>
        <w:t>continue to believe that geopolitical events in the Middle East will come to an end shortly, with oil falling substantially over the month, bringing hope that inflation will subside shortly</w:t>
      </w:r>
      <w:r w:rsidR="0044054A" w:rsidRPr="00A75BED">
        <w:rPr>
          <w:rFonts w:ascii="Calibri" w:hAnsi="Calibri" w:cs="Calibri"/>
        </w:rPr>
        <w:t>.</w:t>
      </w:r>
      <w:r w:rsidR="005D2FDE" w:rsidRPr="00A75BED">
        <w:rPr>
          <w:rFonts w:ascii="Calibri" w:hAnsi="Calibri" w:cs="Calibri"/>
        </w:rPr>
        <w:t xml:space="preserve"> The AUD/</w:t>
      </w:r>
      <w:r w:rsidR="00A769F6" w:rsidRPr="00A75BED">
        <w:rPr>
          <w:rFonts w:ascii="Calibri" w:hAnsi="Calibri" w:cs="Calibri"/>
        </w:rPr>
        <w:t>USD</w:t>
      </w:r>
      <w:r w:rsidR="00A22C87" w:rsidRPr="00A75BED">
        <w:rPr>
          <w:rFonts w:ascii="Calibri" w:hAnsi="Calibri" w:cs="Calibri"/>
        </w:rPr>
        <w:t xml:space="preserve"> </w:t>
      </w:r>
      <w:r w:rsidR="00564885" w:rsidRPr="00A75BED">
        <w:rPr>
          <w:rFonts w:ascii="Calibri" w:hAnsi="Calibri" w:cs="Calibri"/>
        </w:rPr>
        <w:t>weakened</w:t>
      </w:r>
      <w:r w:rsidR="00AB7B22" w:rsidRPr="00A75BED">
        <w:rPr>
          <w:rFonts w:ascii="Calibri" w:hAnsi="Calibri" w:cs="Calibri"/>
        </w:rPr>
        <w:t xml:space="preserve"> substantially following changes in US interest rate expectations</w:t>
      </w:r>
      <w:r w:rsidR="00A769F6" w:rsidRPr="00A75BED">
        <w:rPr>
          <w:rFonts w:ascii="Calibri" w:hAnsi="Calibri" w:cs="Calibri"/>
        </w:rPr>
        <w:t xml:space="preserve"> from </w:t>
      </w:r>
      <w:r w:rsidR="009B046A" w:rsidRPr="00A75BED">
        <w:rPr>
          <w:rFonts w:ascii="Calibri" w:hAnsi="Calibri" w:cs="Calibri"/>
        </w:rPr>
        <w:t xml:space="preserve">0.7184 </w:t>
      </w:r>
      <w:r w:rsidR="00A769F6" w:rsidRPr="00A75BED">
        <w:rPr>
          <w:rFonts w:ascii="Calibri" w:hAnsi="Calibri" w:cs="Calibri"/>
        </w:rPr>
        <w:t>to 0.</w:t>
      </w:r>
      <w:r w:rsidR="009B046A" w:rsidRPr="00A75BED">
        <w:rPr>
          <w:rFonts w:ascii="Calibri" w:hAnsi="Calibri" w:cs="Calibri"/>
        </w:rPr>
        <w:t>692</w:t>
      </w:r>
      <w:r w:rsidR="005D2FDE" w:rsidRPr="00A75BED">
        <w:rPr>
          <w:rFonts w:ascii="Calibri" w:hAnsi="Calibri" w:cs="Calibri"/>
        </w:rPr>
        <w:t xml:space="preserve"> </w:t>
      </w:r>
      <w:r w:rsidR="0070417A" w:rsidRPr="00A75BED">
        <w:rPr>
          <w:rFonts w:ascii="Calibri" w:hAnsi="Calibri" w:cs="Calibri"/>
        </w:rPr>
        <w:t>(</w:t>
      </w:r>
      <w:r w:rsidR="00564885" w:rsidRPr="00A75BED">
        <w:rPr>
          <w:rFonts w:ascii="Calibri" w:hAnsi="Calibri" w:cs="Calibri"/>
        </w:rPr>
        <w:t>-</w:t>
      </w:r>
      <w:r w:rsidR="00AB7B22" w:rsidRPr="00A75BED">
        <w:rPr>
          <w:rFonts w:ascii="Calibri" w:hAnsi="Calibri" w:cs="Calibri"/>
        </w:rPr>
        <w:t>3.7</w:t>
      </w:r>
      <w:r w:rsidR="00142BD6" w:rsidRPr="00A75BED">
        <w:rPr>
          <w:rFonts w:ascii="Calibri" w:hAnsi="Calibri" w:cs="Calibri"/>
        </w:rPr>
        <w:t>%</w:t>
      </w:r>
      <w:r w:rsidR="0070417A" w:rsidRPr="00A75BED">
        <w:rPr>
          <w:rFonts w:ascii="Calibri" w:hAnsi="Calibri" w:cs="Calibri"/>
        </w:rPr>
        <w:t>)</w:t>
      </w:r>
      <w:r w:rsidR="00A3250C" w:rsidRPr="00A75BED">
        <w:rPr>
          <w:rFonts w:ascii="Calibri" w:hAnsi="Calibri" w:cs="Calibri"/>
        </w:rPr>
        <w:t>.</w:t>
      </w:r>
    </w:p>
    <w:p w14:paraId="2DCB7E32" w14:textId="2A44749A" w:rsidR="000678BF" w:rsidRPr="00A75BED" w:rsidRDefault="00BC0503" w:rsidP="00E773E0">
      <w:pPr>
        <w:spacing w:before="120" w:after="120" w:line="240" w:lineRule="auto"/>
        <w:jc w:val="both"/>
        <w:rPr>
          <w:rFonts w:ascii="Calibri" w:hAnsi="Calibri" w:cs="Calibri"/>
        </w:rPr>
      </w:pPr>
      <w:r w:rsidRPr="00A75BED">
        <w:rPr>
          <w:rFonts w:ascii="Calibri" w:hAnsi="Calibri" w:cs="Calibri"/>
        </w:rPr>
        <w:t>The U</w:t>
      </w:r>
      <w:r w:rsidR="007F0629" w:rsidRPr="00A75BED">
        <w:rPr>
          <w:rFonts w:ascii="Calibri" w:hAnsi="Calibri" w:cs="Calibri"/>
        </w:rPr>
        <w:t>.S.</w:t>
      </w:r>
      <w:r w:rsidRPr="00A75BED">
        <w:rPr>
          <w:rFonts w:ascii="Calibri" w:hAnsi="Calibri" w:cs="Calibri"/>
        </w:rPr>
        <w:t xml:space="preserve"> </w:t>
      </w:r>
      <w:r w:rsidR="00FD39EE" w:rsidRPr="00A75BED">
        <w:rPr>
          <w:rFonts w:ascii="Calibri" w:hAnsi="Calibri" w:cs="Calibri"/>
        </w:rPr>
        <w:t xml:space="preserve">Fed </w:t>
      </w:r>
      <w:r w:rsidR="00097243" w:rsidRPr="00A75BED">
        <w:rPr>
          <w:rFonts w:ascii="Calibri" w:hAnsi="Calibri" w:cs="Calibri"/>
        </w:rPr>
        <w:t>held</w:t>
      </w:r>
      <w:r w:rsidR="00FD39EE" w:rsidRPr="00A75BED">
        <w:rPr>
          <w:rFonts w:ascii="Calibri" w:hAnsi="Calibri" w:cs="Calibri"/>
        </w:rPr>
        <w:t xml:space="preserve"> </w:t>
      </w:r>
      <w:r w:rsidR="00123BD7" w:rsidRPr="00A75BED">
        <w:rPr>
          <w:rFonts w:ascii="Calibri" w:hAnsi="Calibri" w:cs="Calibri"/>
        </w:rPr>
        <w:t>the federal funds rate target range at</w:t>
      </w:r>
      <w:r w:rsidRPr="00A75BED">
        <w:rPr>
          <w:rFonts w:ascii="Calibri" w:hAnsi="Calibri" w:cs="Calibri"/>
        </w:rPr>
        <w:t xml:space="preserve"> </w:t>
      </w:r>
      <w:r w:rsidR="006E4BB0" w:rsidRPr="00A75BED">
        <w:rPr>
          <w:rFonts w:ascii="Calibri" w:hAnsi="Calibri" w:cs="Calibri"/>
          <w:b/>
          <w:bCs/>
        </w:rPr>
        <w:t>3.</w:t>
      </w:r>
      <w:r w:rsidR="0077612C" w:rsidRPr="00A75BED">
        <w:rPr>
          <w:rFonts w:ascii="Calibri" w:hAnsi="Calibri" w:cs="Calibri"/>
          <w:b/>
          <w:bCs/>
        </w:rPr>
        <w:t>50</w:t>
      </w:r>
      <w:r w:rsidRPr="00A75BED">
        <w:rPr>
          <w:rFonts w:ascii="Calibri" w:hAnsi="Calibri" w:cs="Calibri"/>
          <w:b/>
          <w:bCs/>
        </w:rPr>
        <w:t>%-</w:t>
      </w:r>
      <w:r w:rsidR="0077612C" w:rsidRPr="00A75BED">
        <w:rPr>
          <w:rFonts w:ascii="Calibri" w:hAnsi="Calibri" w:cs="Calibri"/>
          <w:b/>
          <w:bCs/>
        </w:rPr>
        <w:t>3.75</w:t>
      </w:r>
      <w:r w:rsidRPr="00A75BED">
        <w:rPr>
          <w:rFonts w:ascii="Calibri" w:hAnsi="Calibri" w:cs="Calibri"/>
          <w:b/>
          <w:bCs/>
        </w:rPr>
        <w:t>%</w:t>
      </w:r>
      <w:r w:rsidRPr="00A75BED">
        <w:rPr>
          <w:rFonts w:ascii="Calibri" w:hAnsi="Calibri" w:cs="Calibri"/>
        </w:rPr>
        <w:t xml:space="preserve"> when it met on the </w:t>
      </w:r>
      <w:r w:rsidR="00B31BBC" w:rsidRPr="00A75BED">
        <w:rPr>
          <w:rFonts w:ascii="Calibri" w:hAnsi="Calibri" w:cs="Calibri"/>
          <w:color w:val="222222"/>
          <w:shd w:val="clear" w:color="auto" w:fill="FFFFFF"/>
        </w:rPr>
        <w:t>16</w:t>
      </w:r>
      <w:r w:rsidR="006A0D59" w:rsidRPr="00A75BED">
        <w:rPr>
          <w:rFonts w:ascii="Calibri" w:hAnsi="Calibri" w:cs="Calibri"/>
          <w:color w:val="222222"/>
          <w:shd w:val="clear" w:color="auto" w:fill="FFFFFF"/>
          <w:vertAlign w:val="superscript"/>
        </w:rPr>
        <w:t>th</w:t>
      </w:r>
      <w:r w:rsidR="006A0D59" w:rsidRPr="00A75BED">
        <w:rPr>
          <w:rFonts w:ascii="Calibri" w:hAnsi="Calibri" w:cs="Calibri"/>
          <w:color w:val="222222"/>
          <w:shd w:val="clear" w:color="auto" w:fill="FFFFFF"/>
        </w:rPr>
        <w:t>/</w:t>
      </w:r>
      <w:r w:rsidR="00B31BBC" w:rsidRPr="00A75BED">
        <w:rPr>
          <w:rFonts w:ascii="Calibri" w:hAnsi="Calibri" w:cs="Calibri"/>
          <w:color w:val="222222"/>
          <w:shd w:val="clear" w:color="auto" w:fill="FFFFFF"/>
        </w:rPr>
        <w:t>17</w:t>
      </w:r>
      <w:r w:rsidR="006A0D59" w:rsidRPr="00A75BED">
        <w:rPr>
          <w:rFonts w:ascii="Calibri" w:hAnsi="Calibri" w:cs="Calibri"/>
          <w:color w:val="222222"/>
          <w:shd w:val="clear" w:color="auto" w:fill="FFFFFF"/>
          <w:vertAlign w:val="superscript"/>
        </w:rPr>
        <w:t>th</w:t>
      </w:r>
      <w:r w:rsidR="006A0D59" w:rsidRPr="00A75BED">
        <w:rPr>
          <w:rFonts w:ascii="Calibri" w:hAnsi="Calibri" w:cs="Calibri"/>
          <w:color w:val="222222"/>
          <w:shd w:val="clear" w:color="auto" w:fill="FFFFFF"/>
        </w:rPr>
        <w:t xml:space="preserve"> </w:t>
      </w:r>
      <w:r w:rsidR="00B31BBC" w:rsidRPr="00A75BED">
        <w:rPr>
          <w:rFonts w:ascii="Calibri" w:hAnsi="Calibri" w:cs="Calibri"/>
          <w:color w:val="222222"/>
          <w:shd w:val="clear" w:color="auto" w:fill="FFFFFF"/>
        </w:rPr>
        <w:t>June</w:t>
      </w:r>
      <w:r w:rsidR="00E5339B" w:rsidRPr="00A75BED">
        <w:rPr>
          <w:rFonts w:ascii="Calibri" w:hAnsi="Calibri" w:cs="Calibri"/>
          <w:color w:val="222222"/>
          <w:shd w:val="clear" w:color="auto" w:fill="FFFFFF"/>
        </w:rPr>
        <w:t xml:space="preserve"> </w:t>
      </w:r>
      <w:r w:rsidR="006A0D59" w:rsidRPr="00A75BED">
        <w:rPr>
          <w:rFonts w:ascii="Calibri" w:hAnsi="Calibri" w:cs="Calibri"/>
          <w:color w:val="222222"/>
          <w:shd w:val="clear" w:color="auto" w:fill="FFFFFF"/>
        </w:rPr>
        <w:t>2026</w:t>
      </w:r>
      <w:r w:rsidRPr="00A75BED">
        <w:rPr>
          <w:rFonts w:ascii="Calibri" w:hAnsi="Calibri" w:cs="Calibri"/>
        </w:rPr>
        <w:t xml:space="preserve">. </w:t>
      </w:r>
      <w:r w:rsidR="0060235A" w:rsidRPr="00A75BED">
        <w:rPr>
          <w:rFonts w:ascii="Calibri" w:hAnsi="Calibri" w:cs="Calibri"/>
        </w:rPr>
        <w:t>Last month</w:t>
      </w:r>
      <w:r w:rsidR="00EF2696" w:rsidRPr="00A75BED">
        <w:rPr>
          <w:rFonts w:ascii="Calibri" w:hAnsi="Calibri" w:cs="Calibri"/>
        </w:rPr>
        <w:t>, the rhetoric</w:t>
      </w:r>
      <w:r w:rsidR="0060235A" w:rsidRPr="00A75BED">
        <w:rPr>
          <w:rFonts w:ascii="Calibri" w:hAnsi="Calibri" w:cs="Calibri"/>
        </w:rPr>
        <w:t xml:space="preserve"> of </w:t>
      </w:r>
      <w:r w:rsidR="00EF2696" w:rsidRPr="00A75BED">
        <w:rPr>
          <w:rFonts w:ascii="Calibri" w:hAnsi="Calibri" w:cs="Calibri"/>
        </w:rPr>
        <w:t xml:space="preserve">a soft landing </w:t>
      </w:r>
      <w:r w:rsidR="00E773E0" w:rsidRPr="00A75BED">
        <w:rPr>
          <w:rFonts w:ascii="Calibri" w:hAnsi="Calibri" w:cs="Calibri"/>
        </w:rPr>
        <w:t>came</w:t>
      </w:r>
      <w:r w:rsidR="00EF2696" w:rsidRPr="00A75BED">
        <w:rPr>
          <w:rFonts w:ascii="Calibri" w:hAnsi="Calibri" w:cs="Calibri"/>
        </w:rPr>
        <w:t xml:space="preserve"> under pressure</w:t>
      </w:r>
      <w:r w:rsidR="00682D89" w:rsidRPr="00A75BED">
        <w:rPr>
          <w:rFonts w:ascii="Calibri" w:hAnsi="Calibri" w:cs="Calibri"/>
        </w:rPr>
        <w:t xml:space="preserve"> amid the expected </w:t>
      </w:r>
      <w:r w:rsidR="00F23A1A">
        <w:rPr>
          <w:rFonts w:ascii="Calibri" w:hAnsi="Calibri" w:cs="Calibri"/>
        </w:rPr>
        <w:t>rise in inflation following the oil price spike's impact on food prices, bringing the chances of a rate hike in the US back into focus</w:t>
      </w:r>
      <w:r w:rsidR="00E773E0" w:rsidRPr="00A75BED">
        <w:rPr>
          <w:rFonts w:ascii="Calibri" w:hAnsi="Calibri" w:cs="Calibri"/>
        </w:rPr>
        <w:t xml:space="preserve">. </w:t>
      </w:r>
      <w:r w:rsidR="00ED4632" w:rsidRPr="00A75BED">
        <w:rPr>
          <w:rFonts w:ascii="Calibri" w:hAnsi="Calibri" w:cs="Calibri"/>
        </w:rPr>
        <w:t xml:space="preserve">The next Fed meeting is on the </w:t>
      </w:r>
      <w:r w:rsidR="007E627F" w:rsidRPr="00A75BED">
        <w:rPr>
          <w:rFonts w:ascii="Calibri" w:hAnsi="Calibri" w:cs="Calibri"/>
          <w:color w:val="222222"/>
          <w:shd w:val="clear" w:color="auto" w:fill="FFFFFF"/>
        </w:rPr>
        <w:t>28</w:t>
      </w:r>
      <w:r w:rsidR="008A1544" w:rsidRPr="00A75BED">
        <w:rPr>
          <w:rFonts w:ascii="Calibri" w:hAnsi="Calibri" w:cs="Calibri"/>
          <w:color w:val="222222"/>
          <w:shd w:val="clear" w:color="auto" w:fill="FFFFFF"/>
          <w:vertAlign w:val="superscript"/>
        </w:rPr>
        <w:t>th</w:t>
      </w:r>
      <w:r w:rsidR="00A56F79" w:rsidRPr="00A75BED">
        <w:rPr>
          <w:rFonts w:ascii="Calibri" w:hAnsi="Calibri" w:cs="Calibri"/>
          <w:color w:val="222222"/>
          <w:shd w:val="clear" w:color="auto" w:fill="FFFFFF"/>
        </w:rPr>
        <w:t>/</w:t>
      </w:r>
      <w:r w:rsidR="007E627F" w:rsidRPr="00A75BED">
        <w:rPr>
          <w:rFonts w:ascii="Calibri" w:hAnsi="Calibri" w:cs="Calibri"/>
          <w:color w:val="222222"/>
          <w:shd w:val="clear" w:color="auto" w:fill="FFFFFF"/>
        </w:rPr>
        <w:t>29</w:t>
      </w:r>
      <w:r w:rsidR="008A1544" w:rsidRPr="00A75BED">
        <w:rPr>
          <w:rFonts w:ascii="Calibri" w:hAnsi="Calibri" w:cs="Calibri"/>
          <w:color w:val="222222"/>
          <w:shd w:val="clear" w:color="auto" w:fill="FFFFFF"/>
          <w:vertAlign w:val="superscript"/>
        </w:rPr>
        <w:t>th</w:t>
      </w:r>
      <w:r w:rsidR="008A1544" w:rsidRPr="00A75BED">
        <w:rPr>
          <w:rFonts w:ascii="Calibri" w:hAnsi="Calibri" w:cs="Calibri"/>
          <w:color w:val="222222"/>
          <w:shd w:val="clear" w:color="auto" w:fill="FFFFFF"/>
        </w:rPr>
        <w:t xml:space="preserve"> </w:t>
      </w:r>
      <w:r w:rsidR="007E627F" w:rsidRPr="00A75BED">
        <w:rPr>
          <w:rFonts w:ascii="Calibri" w:hAnsi="Calibri" w:cs="Calibri"/>
          <w:color w:val="222222"/>
          <w:shd w:val="clear" w:color="auto" w:fill="FFFFFF"/>
        </w:rPr>
        <w:t>July</w:t>
      </w:r>
      <w:r w:rsidR="008A1544" w:rsidRPr="00A75BED">
        <w:rPr>
          <w:rFonts w:ascii="Calibri" w:hAnsi="Calibri" w:cs="Calibri"/>
          <w:color w:val="222222"/>
          <w:shd w:val="clear" w:color="auto" w:fill="FFFFFF"/>
        </w:rPr>
        <w:t xml:space="preserve"> 202</w:t>
      </w:r>
      <w:r w:rsidR="00857D2E" w:rsidRPr="00A75BED">
        <w:rPr>
          <w:rFonts w:ascii="Calibri" w:hAnsi="Calibri" w:cs="Calibri"/>
          <w:color w:val="222222"/>
          <w:shd w:val="clear" w:color="auto" w:fill="FFFFFF"/>
        </w:rPr>
        <w:t>6</w:t>
      </w:r>
      <w:r w:rsidR="008A1544" w:rsidRPr="00A75BED">
        <w:rPr>
          <w:rFonts w:ascii="Calibri" w:hAnsi="Calibri" w:cs="Calibri"/>
          <w:color w:val="222222"/>
          <w:shd w:val="clear" w:color="auto" w:fill="FFFFFF"/>
        </w:rPr>
        <w:t xml:space="preserve">. </w:t>
      </w:r>
    </w:p>
    <w:p w14:paraId="3EB233A4" w14:textId="02373883" w:rsidR="00BC0503" w:rsidRPr="00A75BED" w:rsidRDefault="00BC0503" w:rsidP="007152C2">
      <w:pPr>
        <w:spacing w:before="120" w:after="120" w:line="240" w:lineRule="auto"/>
        <w:jc w:val="both"/>
        <w:rPr>
          <w:rFonts w:ascii="Calibri" w:hAnsi="Calibri" w:cs="Calibri"/>
        </w:rPr>
      </w:pPr>
      <w:r w:rsidRPr="00A75BED">
        <w:rPr>
          <w:rFonts w:ascii="Calibri" w:hAnsi="Calibri" w:cs="Calibri"/>
        </w:rPr>
        <w:t xml:space="preserve">The underlying </w:t>
      </w:r>
      <w:r w:rsidR="004A3955" w:rsidRPr="00A75BED">
        <w:rPr>
          <w:rFonts w:ascii="Calibri" w:hAnsi="Calibri" w:cs="Calibri"/>
        </w:rPr>
        <w:t xml:space="preserve">short-term </w:t>
      </w:r>
      <w:r w:rsidRPr="00A75BED">
        <w:rPr>
          <w:rFonts w:ascii="Calibri" w:hAnsi="Calibri" w:cs="Calibri"/>
        </w:rPr>
        <w:t xml:space="preserve">theme is </w:t>
      </w:r>
      <w:r w:rsidR="004C57B4" w:rsidRPr="00A75BED">
        <w:rPr>
          <w:rFonts w:ascii="Calibri" w:hAnsi="Calibri" w:cs="Calibri"/>
          <w:b/>
          <w:bCs/>
        </w:rPr>
        <w:t>"</w:t>
      </w:r>
      <w:r w:rsidR="00E86106" w:rsidRPr="00A75BED">
        <w:rPr>
          <w:rFonts w:ascii="Calibri" w:hAnsi="Calibri" w:cs="Calibri"/>
          <w:b/>
          <w:bCs/>
        </w:rPr>
        <w:t xml:space="preserve">mildly </w:t>
      </w:r>
      <w:r w:rsidR="00335455" w:rsidRPr="00A75BED">
        <w:rPr>
          <w:rFonts w:ascii="Calibri" w:hAnsi="Calibri" w:cs="Calibri"/>
          <w:b/>
          <w:bCs/>
        </w:rPr>
        <w:t>cautious</w:t>
      </w:r>
      <w:r w:rsidR="004C57B4" w:rsidRPr="00A75BED">
        <w:rPr>
          <w:rFonts w:ascii="Calibri" w:hAnsi="Calibri" w:cs="Calibri"/>
          <w:b/>
          <w:bCs/>
        </w:rPr>
        <w:t>"</w:t>
      </w:r>
      <w:r w:rsidR="00FD39EE" w:rsidRPr="00A75BED">
        <w:rPr>
          <w:rFonts w:ascii="Calibri" w:hAnsi="Calibri" w:cs="Calibri"/>
          <w:b/>
          <w:bCs/>
        </w:rPr>
        <w:t xml:space="preserve"> </w:t>
      </w:r>
      <w:r w:rsidRPr="00A75BED">
        <w:rPr>
          <w:rFonts w:ascii="Calibri" w:hAnsi="Calibri" w:cs="Calibri"/>
        </w:rPr>
        <w:t>for shares</w:t>
      </w:r>
      <w:r w:rsidR="002344AE" w:rsidRPr="00A75BED">
        <w:rPr>
          <w:rFonts w:ascii="Calibri" w:hAnsi="Calibri" w:cs="Calibri"/>
        </w:rPr>
        <w:t xml:space="preserve">. </w:t>
      </w:r>
    </w:p>
    <w:p w14:paraId="17CFDA06" w14:textId="4FD41C27" w:rsidR="00840936" w:rsidRPr="00A75BED" w:rsidRDefault="00F3465F" w:rsidP="007152C2">
      <w:pPr>
        <w:spacing w:before="120" w:after="120" w:line="240" w:lineRule="auto"/>
        <w:jc w:val="both"/>
        <w:rPr>
          <w:rFonts w:ascii="Calibri" w:hAnsi="Calibri" w:cs="Calibri"/>
        </w:rPr>
      </w:pPr>
      <w:r w:rsidRPr="00A75BED">
        <w:rPr>
          <w:rFonts w:ascii="Calibri" w:hAnsi="Calibri" w:cs="Calibri"/>
        </w:rPr>
        <w:t>T</w:t>
      </w:r>
      <w:r w:rsidR="00BC034A" w:rsidRPr="00A75BED">
        <w:rPr>
          <w:rFonts w:ascii="Calibri" w:hAnsi="Calibri" w:cs="Calibri"/>
        </w:rPr>
        <w:t>he</w:t>
      </w:r>
      <w:r w:rsidR="00D76073" w:rsidRPr="00A75BED">
        <w:rPr>
          <w:rFonts w:ascii="Calibri" w:hAnsi="Calibri" w:cs="Calibri"/>
        </w:rPr>
        <w:t xml:space="preserve"> situation in</w:t>
      </w:r>
      <w:r w:rsidRPr="00A75BED">
        <w:rPr>
          <w:rFonts w:ascii="Calibri" w:hAnsi="Calibri" w:cs="Calibri"/>
        </w:rPr>
        <w:t xml:space="preserve"> </w:t>
      </w:r>
      <w:r w:rsidR="004C57B4" w:rsidRPr="00A75BED">
        <w:rPr>
          <w:rFonts w:ascii="Calibri" w:hAnsi="Calibri" w:cs="Calibri"/>
        </w:rPr>
        <w:t xml:space="preserve">the </w:t>
      </w:r>
      <w:r w:rsidRPr="00A75BED">
        <w:rPr>
          <w:rFonts w:ascii="Calibri" w:hAnsi="Calibri" w:cs="Calibri"/>
        </w:rPr>
        <w:t xml:space="preserve">Russia/Ukraine </w:t>
      </w:r>
      <w:r w:rsidR="00BC034A" w:rsidRPr="00A75BED">
        <w:rPr>
          <w:rFonts w:ascii="Calibri" w:hAnsi="Calibri" w:cs="Calibri"/>
        </w:rPr>
        <w:t>conflict</w:t>
      </w:r>
      <w:r w:rsidR="00D76073" w:rsidRPr="00A75BED">
        <w:rPr>
          <w:rFonts w:ascii="Calibri" w:hAnsi="Calibri" w:cs="Calibri"/>
        </w:rPr>
        <w:t xml:space="preserve"> remains unchanged</w:t>
      </w:r>
      <w:r w:rsidR="007F5563" w:rsidRPr="00A75BED">
        <w:rPr>
          <w:rFonts w:ascii="Calibri" w:hAnsi="Calibri" w:cs="Calibri"/>
        </w:rPr>
        <w:t>,</w:t>
      </w:r>
      <w:r w:rsidR="00532202" w:rsidRPr="00A75BED">
        <w:rPr>
          <w:rFonts w:ascii="Calibri" w:hAnsi="Calibri" w:cs="Calibri"/>
        </w:rPr>
        <w:t xml:space="preserve"> </w:t>
      </w:r>
      <w:r w:rsidR="003B6A70" w:rsidRPr="00A75BED">
        <w:rPr>
          <w:rFonts w:ascii="Calibri" w:hAnsi="Calibri" w:cs="Calibri"/>
        </w:rPr>
        <w:t>with</w:t>
      </w:r>
      <w:r w:rsidR="00403EC7" w:rsidRPr="00A75BED">
        <w:rPr>
          <w:rFonts w:ascii="Calibri" w:hAnsi="Calibri" w:cs="Calibri"/>
        </w:rPr>
        <w:t xml:space="preserve"> </w:t>
      </w:r>
      <w:r w:rsidR="00802E86" w:rsidRPr="00A75BED">
        <w:rPr>
          <w:rFonts w:ascii="Calibri" w:hAnsi="Calibri" w:cs="Calibri"/>
        </w:rPr>
        <w:t>the latest conflict between Israel</w:t>
      </w:r>
      <w:r w:rsidR="00532202" w:rsidRPr="00A75BED">
        <w:rPr>
          <w:rFonts w:ascii="Calibri" w:hAnsi="Calibri" w:cs="Calibri"/>
        </w:rPr>
        <w:t xml:space="preserve"> and</w:t>
      </w:r>
      <w:r w:rsidR="00802E86" w:rsidRPr="00A75BED">
        <w:rPr>
          <w:rFonts w:ascii="Calibri" w:hAnsi="Calibri" w:cs="Calibri"/>
        </w:rPr>
        <w:t xml:space="preserve"> </w:t>
      </w:r>
      <w:r w:rsidR="00131EB9" w:rsidRPr="00A75BED">
        <w:rPr>
          <w:rFonts w:ascii="Calibri" w:hAnsi="Calibri" w:cs="Calibri"/>
        </w:rPr>
        <w:t>Gaza (</w:t>
      </w:r>
      <w:r w:rsidR="00802E86" w:rsidRPr="00A75BED">
        <w:rPr>
          <w:rFonts w:ascii="Calibri" w:hAnsi="Calibri" w:cs="Calibri"/>
        </w:rPr>
        <w:t>H</w:t>
      </w:r>
      <w:r w:rsidR="008F5026" w:rsidRPr="00A75BED">
        <w:rPr>
          <w:rFonts w:ascii="Calibri" w:hAnsi="Calibri" w:cs="Calibri"/>
        </w:rPr>
        <w:t>a</w:t>
      </w:r>
      <w:r w:rsidR="00802E86" w:rsidRPr="00A75BED">
        <w:rPr>
          <w:rFonts w:ascii="Calibri" w:hAnsi="Calibri" w:cs="Calibri"/>
        </w:rPr>
        <w:t>mas</w:t>
      </w:r>
      <w:r w:rsidR="00131EB9" w:rsidRPr="00A75BED">
        <w:rPr>
          <w:rFonts w:ascii="Calibri" w:hAnsi="Calibri" w:cs="Calibri"/>
        </w:rPr>
        <w:t xml:space="preserve">) </w:t>
      </w:r>
      <w:r w:rsidR="003B6A70" w:rsidRPr="00A75BED">
        <w:rPr>
          <w:rFonts w:ascii="Calibri" w:hAnsi="Calibri" w:cs="Calibri"/>
        </w:rPr>
        <w:t>remaining unchanged as well</w:t>
      </w:r>
      <w:r w:rsidR="00840936" w:rsidRPr="00A75BED">
        <w:rPr>
          <w:rFonts w:ascii="Calibri" w:hAnsi="Calibri" w:cs="Calibri"/>
        </w:rPr>
        <w:t>. Volatility</w:t>
      </w:r>
      <w:r w:rsidR="00335455" w:rsidRPr="00A75BED">
        <w:rPr>
          <w:rFonts w:ascii="Calibri" w:hAnsi="Calibri" w:cs="Calibri"/>
        </w:rPr>
        <w:t xml:space="preserve"> and </w:t>
      </w:r>
      <w:r w:rsidR="00AF4A5E" w:rsidRPr="00A75BED">
        <w:rPr>
          <w:rFonts w:ascii="Calibri" w:hAnsi="Calibri" w:cs="Calibri"/>
        </w:rPr>
        <w:t>risk</w:t>
      </w:r>
      <w:r w:rsidR="00840936" w:rsidRPr="00A75BED">
        <w:rPr>
          <w:rFonts w:ascii="Calibri" w:hAnsi="Calibri" w:cs="Calibri"/>
        </w:rPr>
        <w:t xml:space="preserve"> increased as the USA/Israel moved towards </w:t>
      </w:r>
      <w:r w:rsidR="001D4409" w:rsidRPr="00A75BED">
        <w:rPr>
          <w:rFonts w:ascii="Calibri" w:hAnsi="Calibri" w:cs="Calibri"/>
        </w:rPr>
        <w:t xml:space="preserve">a war with Iran. </w:t>
      </w:r>
    </w:p>
    <w:p w14:paraId="246E64DC" w14:textId="517E14F8" w:rsidR="00BC1541" w:rsidRPr="00A75BED" w:rsidRDefault="00BC1541" w:rsidP="001D4409">
      <w:pPr>
        <w:spacing w:before="120" w:after="120" w:line="240" w:lineRule="auto"/>
        <w:jc w:val="both"/>
        <w:rPr>
          <w:rFonts w:ascii="Calibri" w:hAnsi="Calibri" w:cs="Calibri"/>
          <w:b/>
          <w:bCs/>
        </w:rPr>
      </w:pPr>
      <w:r w:rsidRPr="00A75BED">
        <w:rPr>
          <w:rFonts w:ascii="Calibri" w:hAnsi="Calibri" w:cs="Calibri"/>
          <w:b/>
          <w:bCs/>
        </w:rPr>
        <w:t>Investor Focus</w:t>
      </w:r>
    </w:p>
    <w:p w14:paraId="4E857430" w14:textId="4B62EBCB" w:rsidR="00E210AE" w:rsidRPr="00A75BED" w:rsidRDefault="00257621" w:rsidP="007152C2">
      <w:pPr>
        <w:tabs>
          <w:tab w:val="left" w:pos="5520"/>
        </w:tabs>
        <w:spacing w:before="120" w:after="120" w:line="240" w:lineRule="auto"/>
        <w:jc w:val="both"/>
        <w:rPr>
          <w:rFonts w:ascii="Calibri" w:hAnsi="Calibri" w:cs="Calibri"/>
        </w:rPr>
      </w:pPr>
      <w:r w:rsidRPr="00A75BED">
        <w:rPr>
          <w:rFonts w:ascii="Calibri" w:hAnsi="Calibri" w:cs="Calibri"/>
          <w:b/>
          <w:bCs/>
        </w:rPr>
        <w:t>For Australia</w:t>
      </w:r>
      <w:r w:rsidRPr="00A75BED">
        <w:rPr>
          <w:rFonts w:ascii="Calibri" w:hAnsi="Calibri" w:cs="Calibri"/>
        </w:rPr>
        <w:t>, i</w:t>
      </w:r>
      <w:r w:rsidR="00CF1D42" w:rsidRPr="00A75BED">
        <w:rPr>
          <w:rFonts w:ascii="Calibri" w:hAnsi="Calibri" w:cs="Calibri"/>
        </w:rPr>
        <w:t>nvestors</w:t>
      </w:r>
      <w:r w:rsidR="009E7EF6" w:rsidRPr="00A75BED">
        <w:rPr>
          <w:rFonts w:ascii="Calibri" w:hAnsi="Calibri" w:cs="Calibri"/>
        </w:rPr>
        <w:t xml:space="preserve"> focu</w:t>
      </w:r>
      <w:r w:rsidRPr="00A75BED">
        <w:rPr>
          <w:rFonts w:ascii="Calibri" w:hAnsi="Calibri" w:cs="Calibri"/>
        </w:rPr>
        <w:t>sed o</w:t>
      </w:r>
      <w:r w:rsidR="00E52572" w:rsidRPr="00A75BED">
        <w:rPr>
          <w:rFonts w:ascii="Calibri" w:hAnsi="Calibri" w:cs="Calibri"/>
        </w:rPr>
        <w:t>n</w:t>
      </w:r>
      <w:r w:rsidR="00BC1541" w:rsidRPr="00A75BED">
        <w:rPr>
          <w:rFonts w:ascii="Calibri" w:hAnsi="Calibri" w:cs="Calibri"/>
        </w:rPr>
        <w:t xml:space="preserve"> </w:t>
      </w:r>
      <w:r w:rsidR="00E52572" w:rsidRPr="00A75BED">
        <w:rPr>
          <w:rFonts w:ascii="Calibri" w:hAnsi="Calibri" w:cs="Calibri"/>
        </w:rPr>
        <w:t>the following</w:t>
      </w:r>
      <w:r w:rsidR="00790F5A" w:rsidRPr="00A75BED">
        <w:rPr>
          <w:rFonts w:ascii="Calibri" w:hAnsi="Calibri" w:cs="Calibri"/>
        </w:rPr>
        <w:t xml:space="preserve"> issues:</w:t>
      </w:r>
    </w:p>
    <w:p w14:paraId="1159AA1C" w14:textId="50416409" w:rsidR="005200E9" w:rsidRPr="00A75BED" w:rsidRDefault="00C52E4A" w:rsidP="007152C2">
      <w:pPr>
        <w:pStyle w:val="ListParagraph"/>
        <w:numPr>
          <w:ilvl w:val="0"/>
          <w:numId w:val="6"/>
        </w:numPr>
        <w:spacing w:before="0" w:after="0" w:line="276" w:lineRule="auto"/>
        <w:ind w:left="357" w:hanging="357"/>
        <w:jc w:val="both"/>
        <w:rPr>
          <w:rFonts w:cs="Calibri"/>
          <w:szCs w:val="22"/>
        </w:rPr>
      </w:pPr>
      <w:r w:rsidRPr="00A75BED">
        <w:rPr>
          <w:rFonts w:cs="Calibri"/>
          <w:b/>
          <w:bCs/>
          <w:szCs w:val="22"/>
        </w:rPr>
        <w:t>Cost of living expenses</w:t>
      </w:r>
      <w:r w:rsidRPr="00A75BED">
        <w:rPr>
          <w:rFonts w:cs="Calibri"/>
          <w:szCs w:val="22"/>
        </w:rPr>
        <w:t xml:space="preserve"> and the impact on </w:t>
      </w:r>
      <w:r w:rsidRPr="00A75BED">
        <w:rPr>
          <w:rFonts w:cs="Calibri"/>
          <w:b/>
          <w:bCs/>
          <w:szCs w:val="22"/>
        </w:rPr>
        <w:t>consumer spending</w:t>
      </w:r>
      <w:r w:rsidR="00617146" w:rsidRPr="00A75BED">
        <w:rPr>
          <w:rFonts w:cs="Calibri"/>
          <w:szCs w:val="22"/>
        </w:rPr>
        <w:t>.</w:t>
      </w:r>
    </w:p>
    <w:p w14:paraId="71F71B01" w14:textId="71A4F2C9" w:rsidR="00C52E4A" w:rsidRPr="00A75BED" w:rsidRDefault="00131EB9" w:rsidP="007152C2">
      <w:pPr>
        <w:pStyle w:val="ListParagraph"/>
        <w:numPr>
          <w:ilvl w:val="0"/>
          <w:numId w:val="6"/>
        </w:numPr>
        <w:spacing w:before="0" w:after="0" w:line="276" w:lineRule="auto"/>
        <w:ind w:left="357" w:hanging="357"/>
        <w:jc w:val="both"/>
        <w:rPr>
          <w:rFonts w:cs="Calibri"/>
          <w:szCs w:val="22"/>
        </w:rPr>
      </w:pPr>
      <w:r w:rsidRPr="00A75BED">
        <w:rPr>
          <w:rFonts w:cs="Calibri"/>
          <w:b/>
          <w:bCs/>
          <w:szCs w:val="22"/>
        </w:rPr>
        <w:t>C</w:t>
      </w:r>
      <w:r w:rsidR="00382D5C" w:rsidRPr="00A75BED">
        <w:rPr>
          <w:rFonts w:cs="Calibri"/>
          <w:b/>
          <w:bCs/>
          <w:szCs w:val="22"/>
        </w:rPr>
        <w:t xml:space="preserve">ommodity prices </w:t>
      </w:r>
      <w:r w:rsidRPr="00A75BED">
        <w:rPr>
          <w:rFonts w:cs="Calibri"/>
          <w:szCs w:val="22"/>
        </w:rPr>
        <w:t>(post</w:t>
      </w:r>
      <w:r w:rsidR="000E3302" w:rsidRPr="00A75BED">
        <w:rPr>
          <w:rFonts w:cs="Calibri"/>
          <w:szCs w:val="22"/>
        </w:rPr>
        <w:t>-</w:t>
      </w:r>
      <w:r w:rsidRPr="00A75BED">
        <w:rPr>
          <w:rFonts w:cs="Calibri"/>
          <w:szCs w:val="22"/>
        </w:rPr>
        <w:t xml:space="preserve">China policy changes) </w:t>
      </w:r>
      <w:r w:rsidR="00382D5C" w:rsidRPr="00A75BED">
        <w:rPr>
          <w:rFonts w:cs="Calibri"/>
          <w:b/>
          <w:bCs/>
          <w:szCs w:val="22"/>
        </w:rPr>
        <w:t>and the impact on company profits</w:t>
      </w:r>
      <w:r w:rsidR="007077FC" w:rsidRPr="00A75BED">
        <w:rPr>
          <w:rFonts w:cs="Calibri"/>
          <w:b/>
          <w:bCs/>
          <w:szCs w:val="22"/>
        </w:rPr>
        <w:t>.</w:t>
      </w:r>
    </w:p>
    <w:p w14:paraId="78654FD1" w14:textId="6002F464" w:rsidR="00C52E4A" w:rsidRPr="00A75BED" w:rsidRDefault="00C52E4A" w:rsidP="007152C2">
      <w:pPr>
        <w:pStyle w:val="ListParagraph"/>
        <w:numPr>
          <w:ilvl w:val="0"/>
          <w:numId w:val="6"/>
        </w:numPr>
        <w:spacing w:before="0" w:after="0" w:line="276" w:lineRule="auto"/>
        <w:ind w:left="357" w:hanging="357"/>
        <w:jc w:val="both"/>
        <w:rPr>
          <w:rFonts w:cs="Calibri"/>
          <w:szCs w:val="22"/>
        </w:rPr>
      </w:pPr>
      <w:r w:rsidRPr="00A75BED">
        <w:rPr>
          <w:rFonts w:cs="Calibri"/>
          <w:szCs w:val="22"/>
        </w:rPr>
        <w:t xml:space="preserve">The level of </w:t>
      </w:r>
      <w:r w:rsidRPr="00A75BED">
        <w:rPr>
          <w:rFonts w:cs="Calibri"/>
          <w:b/>
          <w:bCs/>
          <w:szCs w:val="22"/>
        </w:rPr>
        <w:t>interest rates</w:t>
      </w:r>
      <w:r w:rsidRPr="00A75BED">
        <w:rPr>
          <w:rFonts w:cs="Calibri"/>
          <w:szCs w:val="22"/>
        </w:rPr>
        <w:t xml:space="preserve"> and the delicate position of the RBA</w:t>
      </w:r>
      <w:r w:rsidR="000E3302" w:rsidRPr="00A75BED">
        <w:rPr>
          <w:rFonts w:cs="Calibri"/>
          <w:szCs w:val="22"/>
        </w:rPr>
        <w:t>,</w:t>
      </w:r>
      <w:r w:rsidRPr="00A75BED">
        <w:rPr>
          <w:rFonts w:cs="Calibri"/>
          <w:szCs w:val="22"/>
        </w:rPr>
        <w:t xml:space="preserve"> given </w:t>
      </w:r>
      <w:r w:rsidR="001B3379" w:rsidRPr="00A75BED">
        <w:rPr>
          <w:rFonts w:cs="Calibri"/>
          <w:szCs w:val="22"/>
        </w:rPr>
        <w:t xml:space="preserve">the </w:t>
      </w:r>
      <w:r w:rsidR="00B562DB" w:rsidRPr="00A75BED">
        <w:rPr>
          <w:rFonts w:cs="Calibri"/>
          <w:szCs w:val="22"/>
        </w:rPr>
        <w:t>global volatility in markets</w:t>
      </w:r>
      <w:r w:rsidRPr="00A75BED">
        <w:rPr>
          <w:rFonts w:cs="Calibri"/>
          <w:szCs w:val="22"/>
        </w:rPr>
        <w:t>.</w:t>
      </w:r>
    </w:p>
    <w:p w14:paraId="098FF998" w14:textId="4C311679" w:rsidR="001D4409" w:rsidRPr="00A75BED" w:rsidRDefault="001D4409" w:rsidP="007152C2">
      <w:pPr>
        <w:pStyle w:val="ListParagraph"/>
        <w:numPr>
          <w:ilvl w:val="0"/>
          <w:numId w:val="6"/>
        </w:numPr>
        <w:spacing w:before="0" w:after="0" w:line="276" w:lineRule="auto"/>
        <w:ind w:left="357" w:hanging="357"/>
        <w:jc w:val="both"/>
        <w:rPr>
          <w:rFonts w:cs="Calibri"/>
          <w:szCs w:val="22"/>
        </w:rPr>
      </w:pPr>
      <w:r w:rsidRPr="00A75BED">
        <w:rPr>
          <w:rFonts w:cs="Calibri"/>
          <w:b/>
          <w:bCs/>
          <w:szCs w:val="22"/>
        </w:rPr>
        <w:t>Rising Oil Prices</w:t>
      </w:r>
      <w:r w:rsidRPr="00A75BED">
        <w:rPr>
          <w:rFonts w:cs="Calibri"/>
          <w:szCs w:val="22"/>
        </w:rPr>
        <w:t xml:space="preserve"> as conflicts with Iran </w:t>
      </w:r>
      <w:r w:rsidR="003A2EF3">
        <w:rPr>
          <w:rFonts w:cs="Calibri"/>
          <w:szCs w:val="22"/>
        </w:rPr>
        <w:t>re-</w:t>
      </w:r>
      <w:r w:rsidRPr="00A75BED">
        <w:rPr>
          <w:rFonts w:cs="Calibri"/>
          <w:szCs w:val="22"/>
        </w:rPr>
        <w:t>escalate</w:t>
      </w:r>
    </w:p>
    <w:p w14:paraId="5B79F6A2" w14:textId="7DA02946" w:rsidR="007077FC" w:rsidRPr="00A75BED" w:rsidRDefault="007077FC" w:rsidP="007152C2">
      <w:pPr>
        <w:pStyle w:val="ListParagraph"/>
        <w:numPr>
          <w:ilvl w:val="0"/>
          <w:numId w:val="6"/>
        </w:numPr>
        <w:spacing w:before="0" w:after="0" w:line="276" w:lineRule="auto"/>
        <w:ind w:left="357" w:hanging="357"/>
        <w:jc w:val="both"/>
        <w:rPr>
          <w:rFonts w:cs="Calibri"/>
          <w:szCs w:val="22"/>
        </w:rPr>
      </w:pPr>
      <w:r w:rsidRPr="00A75BED">
        <w:rPr>
          <w:rFonts w:cs="Calibri"/>
          <w:b/>
          <w:bCs/>
          <w:szCs w:val="22"/>
        </w:rPr>
        <w:t>U</w:t>
      </w:r>
      <w:r w:rsidR="007F0629" w:rsidRPr="00A75BED">
        <w:rPr>
          <w:rFonts w:cs="Calibri"/>
          <w:b/>
          <w:bCs/>
          <w:szCs w:val="22"/>
        </w:rPr>
        <w:t>.S.</w:t>
      </w:r>
      <w:r w:rsidRPr="00A75BED">
        <w:rPr>
          <w:rFonts w:cs="Calibri"/>
          <w:b/>
          <w:bCs/>
          <w:szCs w:val="22"/>
        </w:rPr>
        <w:t xml:space="preserve"> tariffs</w:t>
      </w:r>
      <w:r w:rsidRPr="00A75BED">
        <w:rPr>
          <w:rFonts w:cs="Calibri"/>
          <w:szCs w:val="22"/>
        </w:rPr>
        <w:t xml:space="preserve"> and the impact on Australia</w:t>
      </w:r>
      <w:r w:rsidR="004C57B4" w:rsidRPr="00A75BED">
        <w:rPr>
          <w:rFonts w:cs="Calibri"/>
          <w:szCs w:val="22"/>
        </w:rPr>
        <w:t>'</w:t>
      </w:r>
      <w:r w:rsidRPr="00A75BED">
        <w:rPr>
          <w:rFonts w:cs="Calibri"/>
          <w:szCs w:val="22"/>
        </w:rPr>
        <w:t>s exports</w:t>
      </w:r>
      <w:r w:rsidR="00A25E50" w:rsidRPr="00A75BED">
        <w:rPr>
          <w:rFonts w:cs="Calibri"/>
          <w:szCs w:val="22"/>
        </w:rPr>
        <w:t xml:space="preserve"> (if any)</w:t>
      </w:r>
      <w:r w:rsidR="00B562DB" w:rsidRPr="00A75BED">
        <w:rPr>
          <w:rFonts w:cs="Calibri"/>
          <w:szCs w:val="22"/>
        </w:rPr>
        <w:t>.</w:t>
      </w:r>
    </w:p>
    <w:p w14:paraId="72D4FB61" w14:textId="70F46AAA" w:rsidR="00C52E4A" w:rsidRPr="00A75BED" w:rsidRDefault="00C52E4A" w:rsidP="007152C2">
      <w:pPr>
        <w:pStyle w:val="ListParagraph"/>
        <w:numPr>
          <w:ilvl w:val="0"/>
          <w:numId w:val="6"/>
        </w:numPr>
        <w:spacing w:before="0" w:after="0" w:line="276" w:lineRule="auto"/>
        <w:ind w:left="357" w:hanging="357"/>
        <w:jc w:val="both"/>
        <w:rPr>
          <w:rFonts w:cs="Calibri"/>
          <w:szCs w:val="22"/>
        </w:rPr>
      </w:pPr>
      <w:r w:rsidRPr="00A75BED">
        <w:rPr>
          <w:rFonts w:cs="Calibri"/>
          <w:b/>
          <w:bCs/>
          <w:szCs w:val="22"/>
        </w:rPr>
        <w:t>Inflation</w:t>
      </w:r>
      <w:r w:rsidRPr="00A75BED">
        <w:rPr>
          <w:rFonts w:cs="Calibri"/>
          <w:szCs w:val="22"/>
        </w:rPr>
        <w:t xml:space="preserve"> </w:t>
      </w:r>
      <w:r w:rsidR="00382D5C" w:rsidRPr="00A75BED">
        <w:rPr>
          <w:rFonts w:cs="Calibri"/>
          <w:szCs w:val="22"/>
        </w:rPr>
        <w:t>(</w:t>
      </w:r>
      <w:r w:rsidR="000E3302" w:rsidRPr="00A75BED">
        <w:rPr>
          <w:rFonts w:cs="Calibri"/>
          <w:szCs w:val="22"/>
        </w:rPr>
        <w:t xml:space="preserve">year-over-year) </w:t>
      </w:r>
      <w:r w:rsidR="002E4EA7" w:rsidRPr="00A75BED">
        <w:rPr>
          <w:rFonts w:cs="Calibri"/>
          <w:szCs w:val="22"/>
        </w:rPr>
        <w:t xml:space="preserve">increased to </w:t>
      </w:r>
      <w:r w:rsidR="00814FFF" w:rsidRPr="00A75BED">
        <w:rPr>
          <w:rFonts w:cs="Calibri"/>
          <w:szCs w:val="22"/>
        </w:rPr>
        <w:t>4.6% i</w:t>
      </w:r>
      <w:r w:rsidR="000E3302" w:rsidRPr="00A75BED">
        <w:rPr>
          <w:rFonts w:cs="Calibri"/>
          <w:szCs w:val="22"/>
        </w:rPr>
        <w:t>n</w:t>
      </w:r>
      <w:r w:rsidR="00814FFF" w:rsidRPr="00A75BED">
        <w:rPr>
          <w:rFonts w:cs="Calibri"/>
          <w:szCs w:val="22"/>
        </w:rPr>
        <w:t xml:space="preserve"> the March quarter</w:t>
      </w:r>
      <w:r w:rsidR="000E3302" w:rsidRPr="00A75BED">
        <w:rPr>
          <w:rFonts w:cs="Calibri"/>
          <w:szCs w:val="22"/>
        </w:rPr>
        <w:t xml:space="preserve">, with the next quarterly CPI being released on </w:t>
      </w:r>
      <w:r w:rsidR="00570D0A" w:rsidRPr="00A75BED">
        <w:rPr>
          <w:rFonts w:cs="Calibri"/>
          <w:szCs w:val="22"/>
        </w:rPr>
        <w:t>July</w:t>
      </w:r>
      <w:r w:rsidR="000E3302" w:rsidRPr="00A75BED">
        <w:rPr>
          <w:rFonts w:cs="Calibri"/>
          <w:szCs w:val="22"/>
        </w:rPr>
        <w:t xml:space="preserve"> </w:t>
      </w:r>
      <w:r w:rsidR="005D31DC" w:rsidRPr="00A75BED">
        <w:rPr>
          <w:rFonts w:cs="Calibri"/>
          <w:szCs w:val="22"/>
        </w:rPr>
        <w:t>29</w:t>
      </w:r>
      <w:r w:rsidR="000E3302" w:rsidRPr="00A75BED">
        <w:rPr>
          <w:rFonts w:cs="Calibri"/>
          <w:szCs w:val="22"/>
        </w:rPr>
        <w:t>,</w:t>
      </w:r>
      <w:r w:rsidR="00230265" w:rsidRPr="00A75BED">
        <w:rPr>
          <w:rFonts w:cs="Calibri"/>
          <w:szCs w:val="22"/>
        </w:rPr>
        <w:t xml:space="preserve"> 202</w:t>
      </w:r>
      <w:r w:rsidR="00016E85" w:rsidRPr="00A75BED">
        <w:rPr>
          <w:rFonts w:cs="Calibri"/>
          <w:szCs w:val="22"/>
        </w:rPr>
        <w:t>6</w:t>
      </w:r>
      <w:r w:rsidR="009D7873" w:rsidRPr="00A75BED">
        <w:rPr>
          <w:rFonts w:cs="Calibri"/>
          <w:szCs w:val="22"/>
        </w:rPr>
        <w:t>.</w:t>
      </w:r>
    </w:p>
    <w:p w14:paraId="1BD9D657" w14:textId="03203F57" w:rsidR="00BF751B" w:rsidRPr="00827803" w:rsidRDefault="00531BEC" w:rsidP="00827803">
      <w:pPr>
        <w:pStyle w:val="ListParagraph"/>
        <w:numPr>
          <w:ilvl w:val="0"/>
          <w:numId w:val="6"/>
        </w:numPr>
        <w:spacing w:before="0" w:after="0" w:line="276" w:lineRule="auto"/>
        <w:ind w:left="357" w:hanging="357"/>
        <w:jc w:val="both"/>
        <w:rPr>
          <w:rFonts w:cs="Calibri"/>
          <w:szCs w:val="22"/>
        </w:rPr>
      </w:pPr>
      <w:r w:rsidRPr="00A75BED">
        <w:rPr>
          <w:rFonts w:cs="Calibri"/>
          <w:b/>
          <w:bCs/>
          <w:szCs w:val="22"/>
        </w:rPr>
        <w:t xml:space="preserve">Government spending </w:t>
      </w:r>
      <w:r w:rsidRPr="00A75BED">
        <w:rPr>
          <w:rFonts w:cs="Calibri"/>
          <w:szCs w:val="22"/>
        </w:rPr>
        <w:t>and the rising debt level.</w:t>
      </w:r>
    </w:p>
    <w:p w14:paraId="2016E5D9" w14:textId="16281830" w:rsidR="003A2EF3" w:rsidRPr="003A2EF3" w:rsidRDefault="009E7EF6" w:rsidP="003A2EF3">
      <w:pPr>
        <w:spacing w:before="120" w:after="120" w:line="240" w:lineRule="auto"/>
        <w:jc w:val="both"/>
        <w:rPr>
          <w:rFonts w:ascii="Calibri" w:hAnsi="Calibri" w:cs="Calibri"/>
          <w:b/>
          <w:bCs/>
        </w:rPr>
      </w:pPr>
      <w:r w:rsidRPr="003A2EF3">
        <w:rPr>
          <w:rFonts w:ascii="Calibri" w:hAnsi="Calibri" w:cs="Calibri"/>
          <w:b/>
          <w:bCs/>
        </w:rPr>
        <w:lastRenderedPageBreak/>
        <w:t>Currency</w:t>
      </w:r>
    </w:p>
    <w:p w14:paraId="3956FE90" w14:textId="008811A3" w:rsidR="000E6C72" w:rsidRPr="00A75BED" w:rsidRDefault="009E7EF6" w:rsidP="003A2EF3">
      <w:pPr>
        <w:spacing w:before="120" w:after="120" w:line="240" w:lineRule="auto"/>
        <w:jc w:val="both"/>
        <w:rPr>
          <w:rFonts w:ascii="Calibri" w:hAnsi="Calibri" w:cs="Calibri"/>
        </w:rPr>
      </w:pPr>
      <w:r w:rsidRPr="003A2EF3">
        <w:rPr>
          <w:rFonts w:ascii="Calibri" w:hAnsi="Calibri" w:cs="Calibri"/>
        </w:rPr>
        <w:t xml:space="preserve">The </w:t>
      </w:r>
      <w:r w:rsidR="00A27DC4" w:rsidRPr="003A2EF3">
        <w:rPr>
          <w:rFonts w:ascii="Calibri" w:hAnsi="Calibri" w:cs="Calibri"/>
        </w:rPr>
        <w:t>Australian</w:t>
      </w:r>
      <w:r w:rsidR="00A27DC4" w:rsidRPr="00A75BED">
        <w:rPr>
          <w:rFonts w:ascii="Calibri" w:hAnsi="Calibri" w:cs="Calibri"/>
        </w:rPr>
        <w:t xml:space="preserve"> Dollar</w:t>
      </w:r>
      <w:r w:rsidRPr="00A75BED">
        <w:rPr>
          <w:rFonts w:ascii="Calibri" w:hAnsi="Calibri" w:cs="Calibri"/>
        </w:rPr>
        <w:t xml:space="preserve"> closed </w:t>
      </w:r>
      <w:r w:rsidR="004C0105" w:rsidRPr="00A75BED">
        <w:rPr>
          <w:rFonts w:ascii="Calibri" w:hAnsi="Calibri" w:cs="Calibri"/>
        </w:rPr>
        <w:t>weaker</w:t>
      </w:r>
      <w:r w:rsidR="000E3302" w:rsidRPr="00A75BED">
        <w:rPr>
          <w:rFonts w:ascii="Calibri" w:hAnsi="Calibri" w:cs="Calibri"/>
        </w:rPr>
        <w:t>,</w:t>
      </w:r>
      <w:r w:rsidR="009B1992" w:rsidRPr="00A75BED">
        <w:rPr>
          <w:rFonts w:ascii="Calibri" w:hAnsi="Calibri" w:cs="Calibri"/>
        </w:rPr>
        <w:t xml:space="preserve"> </w:t>
      </w:r>
      <w:r w:rsidR="00590B4A" w:rsidRPr="00A75BED">
        <w:rPr>
          <w:rFonts w:ascii="Calibri" w:hAnsi="Calibri" w:cs="Calibri"/>
        </w:rPr>
        <w:t xml:space="preserve">AUD/USD </w:t>
      </w:r>
      <w:r w:rsidR="00A27DC4" w:rsidRPr="00A75BED">
        <w:rPr>
          <w:rFonts w:ascii="Calibri" w:hAnsi="Calibri" w:cs="Calibri"/>
        </w:rPr>
        <w:t>0.</w:t>
      </w:r>
      <w:r w:rsidR="00AD4466" w:rsidRPr="00A75BED">
        <w:rPr>
          <w:rFonts w:ascii="Calibri" w:hAnsi="Calibri" w:cs="Calibri"/>
        </w:rPr>
        <w:t>692</w:t>
      </w:r>
      <w:r w:rsidR="00A27DC4" w:rsidRPr="00A75BED">
        <w:rPr>
          <w:rFonts w:ascii="Calibri" w:hAnsi="Calibri" w:cs="Calibri"/>
        </w:rPr>
        <w:t xml:space="preserve"> </w:t>
      </w:r>
      <w:r w:rsidRPr="00A75BED">
        <w:rPr>
          <w:rFonts w:ascii="Calibri" w:hAnsi="Calibri" w:cs="Calibri"/>
        </w:rPr>
        <w:t xml:space="preserve">at the end of </w:t>
      </w:r>
      <w:r w:rsidR="00AD4466" w:rsidRPr="00A75BED">
        <w:rPr>
          <w:rFonts w:ascii="Calibri" w:hAnsi="Calibri" w:cs="Calibri"/>
        </w:rPr>
        <w:t>June</w:t>
      </w:r>
      <w:r w:rsidR="00AA627D" w:rsidRPr="00A75BED">
        <w:rPr>
          <w:rFonts w:ascii="Calibri" w:hAnsi="Calibri" w:cs="Calibri"/>
        </w:rPr>
        <w:t xml:space="preserve"> 202</w:t>
      </w:r>
      <w:r w:rsidR="001A6CF1" w:rsidRPr="00A75BED">
        <w:rPr>
          <w:rFonts w:ascii="Calibri" w:hAnsi="Calibri" w:cs="Calibri"/>
        </w:rPr>
        <w:t>6</w:t>
      </w:r>
      <w:r w:rsidR="00DC0D03" w:rsidRPr="00A75BED">
        <w:rPr>
          <w:rFonts w:ascii="Calibri" w:hAnsi="Calibri" w:cs="Calibri"/>
        </w:rPr>
        <w:t xml:space="preserve">, </w:t>
      </w:r>
      <w:r w:rsidR="00596677" w:rsidRPr="00A75BED">
        <w:rPr>
          <w:rFonts w:ascii="Calibri" w:hAnsi="Calibri" w:cs="Calibri"/>
        </w:rPr>
        <w:t>down</w:t>
      </w:r>
      <w:r w:rsidR="00F8783D" w:rsidRPr="00A75BED">
        <w:rPr>
          <w:rFonts w:ascii="Calibri" w:hAnsi="Calibri" w:cs="Calibri"/>
        </w:rPr>
        <w:t xml:space="preserve"> </w:t>
      </w:r>
      <w:r w:rsidR="00596677" w:rsidRPr="00A75BED">
        <w:rPr>
          <w:rFonts w:ascii="Calibri" w:hAnsi="Calibri" w:cs="Calibri"/>
        </w:rPr>
        <w:t>from</w:t>
      </w:r>
      <w:r w:rsidR="00DC0D03" w:rsidRPr="00A75BED">
        <w:rPr>
          <w:rFonts w:ascii="Calibri" w:hAnsi="Calibri" w:cs="Calibri"/>
        </w:rPr>
        <w:t xml:space="preserve"> </w:t>
      </w:r>
      <w:r w:rsidR="00AD4466" w:rsidRPr="00A75BED">
        <w:rPr>
          <w:rFonts w:ascii="Calibri" w:hAnsi="Calibri" w:cs="Calibri"/>
        </w:rPr>
        <w:t xml:space="preserve">0.7184 </w:t>
      </w:r>
      <w:r w:rsidR="00F8783D" w:rsidRPr="00A75BED">
        <w:rPr>
          <w:rFonts w:ascii="Calibri" w:hAnsi="Calibri" w:cs="Calibri"/>
        </w:rPr>
        <w:t xml:space="preserve">in </w:t>
      </w:r>
      <w:r w:rsidR="00AD4466" w:rsidRPr="00A75BED">
        <w:rPr>
          <w:rFonts w:ascii="Calibri" w:hAnsi="Calibri" w:cs="Calibri"/>
        </w:rPr>
        <w:t>May</w:t>
      </w:r>
      <w:r w:rsidR="00B97AD1" w:rsidRPr="00A75BED">
        <w:rPr>
          <w:rFonts w:ascii="Calibri" w:hAnsi="Calibri" w:cs="Calibri"/>
        </w:rPr>
        <w:t xml:space="preserve">. </w:t>
      </w:r>
      <w:r w:rsidR="00B16BD2" w:rsidRPr="00A75BED">
        <w:rPr>
          <w:rFonts w:ascii="Calibri" w:hAnsi="Calibri" w:cs="Calibri"/>
        </w:rPr>
        <w:t xml:space="preserve">As the Aussie dollar is a </w:t>
      </w:r>
      <w:r w:rsidR="009B62AA" w:rsidRPr="00A75BED">
        <w:rPr>
          <w:rFonts w:ascii="Calibri" w:hAnsi="Calibri" w:cs="Calibri"/>
        </w:rPr>
        <w:t>'</w:t>
      </w:r>
      <w:r w:rsidR="00B16BD2" w:rsidRPr="00A75BED">
        <w:rPr>
          <w:rFonts w:ascii="Calibri" w:hAnsi="Calibri" w:cs="Calibri"/>
        </w:rPr>
        <w:t>risk currency</w:t>
      </w:r>
      <w:r w:rsidR="009B62AA" w:rsidRPr="00A75BED">
        <w:rPr>
          <w:rFonts w:ascii="Calibri" w:hAnsi="Calibri" w:cs="Calibri"/>
        </w:rPr>
        <w:t>'</w:t>
      </w:r>
      <w:r w:rsidR="00B16BD2" w:rsidRPr="00A75BED">
        <w:rPr>
          <w:rFonts w:ascii="Calibri" w:hAnsi="Calibri" w:cs="Calibri"/>
        </w:rPr>
        <w:t xml:space="preserve">, it always sells off </w:t>
      </w:r>
      <w:r w:rsidR="00F23A1A">
        <w:rPr>
          <w:rFonts w:ascii="Calibri" w:hAnsi="Calibri" w:cs="Calibri"/>
        </w:rPr>
        <w:t>during global crises</w:t>
      </w:r>
      <w:r w:rsidR="00CA2F8F" w:rsidRPr="00A75BED">
        <w:rPr>
          <w:rFonts w:ascii="Calibri" w:hAnsi="Calibri" w:cs="Calibri"/>
        </w:rPr>
        <w:t>,</w:t>
      </w:r>
      <w:r w:rsidR="00D743F3" w:rsidRPr="00A75BED">
        <w:rPr>
          <w:rFonts w:ascii="Calibri" w:hAnsi="Calibri" w:cs="Calibri"/>
        </w:rPr>
        <w:t xml:space="preserve"> as we saw in March</w:t>
      </w:r>
      <w:r w:rsidR="00B16BD2" w:rsidRPr="00A75BED">
        <w:rPr>
          <w:rFonts w:ascii="Calibri" w:hAnsi="Calibri" w:cs="Calibri"/>
        </w:rPr>
        <w:t xml:space="preserve">, regardless of local conditions. </w:t>
      </w:r>
      <w:r w:rsidR="00357307" w:rsidRPr="00A75BED">
        <w:rPr>
          <w:rFonts w:ascii="Calibri" w:hAnsi="Calibri" w:cs="Calibri"/>
        </w:rPr>
        <w:t xml:space="preserve">June marked the first month of a new Federal Reserve governor, </w:t>
      </w:r>
      <w:proofErr w:type="gramStart"/>
      <w:r w:rsidR="00357307" w:rsidRPr="00A75BED">
        <w:rPr>
          <w:rFonts w:ascii="Calibri" w:hAnsi="Calibri" w:cs="Calibri"/>
        </w:rPr>
        <w:t>with  Walsh</w:t>
      </w:r>
      <w:r w:rsidR="002B51E0" w:rsidRPr="00A75BED">
        <w:rPr>
          <w:rFonts w:ascii="Calibri" w:hAnsi="Calibri" w:cs="Calibri"/>
        </w:rPr>
        <w:t>’s</w:t>
      </w:r>
      <w:proofErr w:type="gramEnd"/>
      <w:r w:rsidR="002B51E0" w:rsidRPr="00A75BED">
        <w:rPr>
          <w:rFonts w:ascii="Calibri" w:hAnsi="Calibri" w:cs="Calibri"/>
        </w:rPr>
        <w:t xml:space="preserve"> assessment of the economy changing interest rate expectations in the US from 3 cuts this year to no more cuts. This was in combination with a softer-than-expected inflation print in Australia, which saw the dollar sell off aggressively over the month.</w:t>
      </w:r>
      <w:r w:rsidR="000E6C72" w:rsidRPr="00A75BED">
        <w:rPr>
          <w:rFonts w:ascii="Calibri" w:hAnsi="Calibri" w:cs="Calibri"/>
        </w:rPr>
        <w:t xml:space="preserve"> </w:t>
      </w:r>
    </w:p>
    <w:p w14:paraId="61BE8DE3" w14:textId="6562D662" w:rsidR="004D2D2C" w:rsidRPr="00A75BED" w:rsidRDefault="00DD1DFC" w:rsidP="007152C2">
      <w:pPr>
        <w:jc w:val="both"/>
        <w:rPr>
          <w:rFonts w:ascii="Calibri" w:hAnsi="Calibri" w:cs="Calibri"/>
        </w:rPr>
      </w:pPr>
      <w:r w:rsidRPr="00A75BED">
        <w:rPr>
          <w:rFonts w:ascii="Calibri" w:hAnsi="Calibri" w:cs="Calibri"/>
          <w:iCs/>
          <w:noProof/>
        </w:rPr>
        <w:drawing>
          <wp:anchor distT="0" distB="0" distL="114300" distR="114300" simplePos="0" relativeHeight="251659264" behindDoc="1" locked="0" layoutInCell="1" allowOverlap="1" wp14:anchorId="3CDE731B" wp14:editId="1BC75C46">
            <wp:simplePos x="0" y="0"/>
            <wp:positionH relativeFrom="margin">
              <wp:align>right</wp:align>
            </wp:positionH>
            <wp:positionV relativeFrom="paragraph">
              <wp:posOffset>363220</wp:posOffset>
            </wp:positionV>
            <wp:extent cx="3327127" cy="793630"/>
            <wp:effectExtent l="0" t="0" r="6985" b="6985"/>
            <wp:wrapTight wrapText="bothSides">
              <wp:wrapPolygon edited="0">
                <wp:start x="0" y="0"/>
                <wp:lineTo x="0" y="21271"/>
                <wp:lineTo x="21522" y="21271"/>
                <wp:lineTo x="21522" y="0"/>
                <wp:lineTo x="0" y="0"/>
              </wp:wrapPolygon>
            </wp:wrapTight>
            <wp:docPr id="7" name="Picture 6">
              <a:extLst xmlns:a="http://schemas.openxmlformats.org/drawingml/2006/main">
                <a:ext uri="{FF2B5EF4-FFF2-40B4-BE49-F238E27FC236}">
                  <a16:creationId xmlns:a16="http://schemas.microsoft.com/office/drawing/2014/main" id="{76157112-9EAE-C77E-89C0-8A179B36620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76157112-9EAE-C77E-89C0-8A179B366203}"/>
                        </a:ext>
                      </a:extLst>
                    </pic:cNvPr>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3327127" cy="793630"/>
                    </a:xfrm>
                    <a:prstGeom prst="rect">
                      <a:avLst/>
                    </a:prstGeom>
                  </pic:spPr>
                </pic:pic>
              </a:graphicData>
            </a:graphic>
          </wp:anchor>
        </w:drawing>
      </w:r>
      <w:r w:rsidR="00AF67EB" w:rsidRPr="00A75BED">
        <w:rPr>
          <w:rFonts w:ascii="Calibri" w:hAnsi="Calibri" w:cs="Calibri"/>
          <w:noProof/>
        </w:rPr>
        <mc:AlternateContent>
          <mc:Choice Requires="wps">
            <w:drawing>
              <wp:anchor distT="45720" distB="45720" distL="114300" distR="114300" simplePos="0" relativeHeight="251658240" behindDoc="1" locked="0" layoutInCell="1" allowOverlap="1" wp14:anchorId="674A7F81" wp14:editId="13EB1567">
                <wp:simplePos x="0" y="0"/>
                <wp:positionH relativeFrom="column">
                  <wp:posOffset>175260</wp:posOffset>
                </wp:positionH>
                <wp:positionV relativeFrom="paragraph">
                  <wp:posOffset>35560</wp:posOffset>
                </wp:positionV>
                <wp:extent cx="2183130" cy="1630680"/>
                <wp:effectExtent l="0" t="0" r="26670" b="26670"/>
                <wp:wrapTight wrapText="bothSides">
                  <wp:wrapPolygon edited="0">
                    <wp:start x="0" y="0"/>
                    <wp:lineTo x="0" y="21701"/>
                    <wp:lineTo x="21675" y="21701"/>
                    <wp:lineTo x="21675" y="0"/>
                    <wp:lineTo x="0" y="0"/>
                  </wp:wrapPolygon>
                </wp:wrapTight>
                <wp:docPr id="15424915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3130" cy="1630680"/>
                        </a:xfrm>
                        <a:prstGeom prst="rect">
                          <a:avLst/>
                        </a:prstGeom>
                        <a:ln w="12700">
                          <a:headEnd/>
                          <a:tailEnd/>
                        </a:ln>
                      </wps:spPr>
                      <wps:style>
                        <a:lnRef idx="2">
                          <a:schemeClr val="dk1"/>
                        </a:lnRef>
                        <a:fillRef idx="1">
                          <a:schemeClr val="lt1"/>
                        </a:fillRef>
                        <a:effectRef idx="0">
                          <a:schemeClr val="dk1"/>
                        </a:effectRef>
                        <a:fontRef idx="minor">
                          <a:schemeClr val="dk1"/>
                        </a:fontRef>
                      </wps:style>
                      <wps:txbx>
                        <w:txbxContent>
                          <w:p w14:paraId="2DF79A56" w14:textId="77777777" w:rsidR="00AF67EB" w:rsidRPr="00F7278B" w:rsidRDefault="00AF67EB" w:rsidP="008E2CED">
                            <w:pPr>
                              <w:spacing w:before="0"/>
                              <w:jc w:val="both"/>
                            </w:pPr>
                            <w:r w:rsidRPr="00F7278B">
                              <w:t>Currency forecasters see the AUD/USD range between:</w:t>
                            </w:r>
                          </w:p>
                          <w:p w14:paraId="0EE890F7" w14:textId="41BFA314" w:rsidR="00AF67EB" w:rsidRPr="00F7278B" w:rsidRDefault="00AF67EB" w:rsidP="008E2CED">
                            <w:pPr>
                              <w:spacing w:before="0"/>
                              <w:jc w:val="both"/>
                            </w:pPr>
                            <w:r w:rsidRPr="00F7278B">
                              <w:rPr>
                                <w:b/>
                                <w:bCs/>
                              </w:rPr>
                              <w:t>0.</w:t>
                            </w:r>
                            <w:r w:rsidR="001D644E" w:rsidRPr="00F7278B">
                              <w:rPr>
                                <w:b/>
                                <w:bCs/>
                              </w:rPr>
                              <w:t>65</w:t>
                            </w:r>
                            <w:r w:rsidRPr="00F7278B">
                              <w:rPr>
                                <w:b/>
                                <w:bCs/>
                              </w:rPr>
                              <w:t xml:space="preserve"> and 0.</w:t>
                            </w:r>
                            <w:r w:rsidR="00F7278B" w:rsidRPr="00F7278B">
                              <w:rPr>
                                <w:b/>
                                <w:bCs/>
                              </w:rPr>
                              <w:t>75</w:t>
                            </w:r>
                            <w:r w:rsidRPr="00F7278B">
                              <w:t xml:space="preserve"> cents in the medium term and most likely to trade within the:</w:t>
                            </w:r>
                          </w:p>
                          <w:p w14:paraId="0B0DFE4B" w14:textId="77777777" w:rsidR="00AF67EB" w:rsidRDefault="00AF67EB" w:rsidP="008E2CED">
                            <w:pPr>
                              <w:spacing w:before="0"/>
                              <w:jc w:val="both"/>
                            </w:pPr>
                            <w:r w:rsidRPr="00F7278B">
                              <w:rPr>
                                <w:b/>
                                <w:bCs/>
                              </w:rPr>
                              <w:t>0.5500 to 0.7500</w:t>
                            </w:r>
                            <w:r w:rsidRPr="00F7278B">
                              <w:t xml:space="preserve"> range in the longer term.</w:t>
                            </w:r>
                          </w:p>
                          <w:p w14:paraId="32E13D51" w14:textId="77777777" w:rsidR="00AF67EB" w:rsidRDefault="00AF67EB" w:rsidP="008E2CED">
                            <w:pPr>
                              <w:jc w:val="both"/>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74A7F81" id="_x0000_t202" coordsize="21600,21600" o:spt="202" path="m,l,21600r21600,l21600,xe">
                <v:stroke joinstyle="miter"/>
                <v:path gradientshapeok="t" o:connecttype="rect"/>
              </v:shapetype>
              <v:shape id="Text Box 2" o:spid="_x0000_s1026" type="#_x0000_t202" style="position:absolute;left:0;text-align:left;margin-left:13.8pt;margin-top:2.8pt;width:171.9pt;height:128.4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" fillcolor="white [3201]" strokecolor="#414042 [3200]" strokeweight="1pt">
                <v:textbox>
                  <w:txbxContent>
                    <w:p w14:paraId="2DF79A56" w14:textId="77777777" w:rsidR="00AF67EB" w:rsidRPr="00F7278B" w:rsidRDefault="00AF67EB" w:rsidP="008E2CED">
                      <w:pPr>
                        <w:spacing w:before="0"/>
                        <w:jc w:val="both"/>
                      </w:pPr>
                      <w:r w:rsidRPr="00F7278B">
                        <w:t>Currency forecasters see the AUD/USD range between:</w:t>
                      </w:r>
                    </w:p>
                    <w:p w14:paraId="0EE890F7" w14:textId="41BFA314" w:rsidR="00AF67EB" w:rsidRPr="00F7278B" w:rsidRDefault="00AF67EB" w:rsidP="008E2CED">
                      <w:pPr>
                        <w:spacing w:before="0"/>
                        <w:jc w:val="both"/>
                      </w:pPr>
                      <w:r w:rsidRPr="00F7278B">
                        <w:rPr>
                          <w:b/>
                          <w:bCs/>
                        </w:rPr>
                        <w:t>0.</w:t>
                      </w:r>
                      <w:r w:rsidR="001D644E" w:rsidRPr="00F7278B">
                        <w:rPr>
                          <w:b/>
                          <w:bCs/>
                        </w:rPr>
                        <w:t>65</w:t>
                      </w:r>
                      <w:r w:rsidRPr="00F7278B">
                        <w:rPr>
                          <w:b/>
                          <w:bCs/>
                        </w:rPr>
                        <w:t xml:space="preserve"> and 0.</w:t>
                      </w:r>
                      <w:r w:rsidR="00F7278B" w:rsidRPr="00F7278B">
                        <w:rPr>
                          <w:b/>
                          <w:bCs/>
                        </w:rPr>
                        <w:t>75</w:t>
                      </w:r>
                      <w:r w:rsidRPr="00F7278B">
                        <w:t xml:space="preserve"> cents in the medium term and most likely to trade within the:</w:t>
                      </w:r>
                    </w:p>
                    <w:p w14:paraId="0B0DFE4B" w14:textId="77777777" w:rsidR="00AF67EB" w:rsidRDefault="00AF67EB" w:rsidP="008E2CED">
                      <w:pPr>
                        <w:spacing w:before="0"/>
                        <w:jc w:val="both"/>
                      </w:pPr>
                      <w:r w:rsidRPr="00F7278B">
                        <w:rPr>
                          <w:b/>
                          <w:bCs/>
                        </w:rPr>
                        <w:t>0.5500 to 0.7500</w:t>
                      </w:r>
                      <w:r w:rsidRPr="00F7278B">
                        <w:t xml:space="preserve"> range in the longer term.</w:t>
                      </w:r>
                    </w:p>
                    <w:p w14:paraId="32E13D51" w14:textId="77777777" w:rsidR="00AF67EB" w:rsidRDefault="00AF67EB" w:rsidP="008E2CED">
                      <w:pPr>
                        <w:jc w:val="both"/>
                      </w:pPr>
                    </w:p>
                  </w:txbxContent>
                </v:textbox>
                <w10:wrap type="tight"/>
              </v:shape>
            </w:pict>
          </mc:Fallback>
        </mc:AlternateContent>
      </w:r>
    </w:p>
    <w:p w14:paraId="5B75D78B" w14:textId="6BB6F85C" w:rsidR="00A25E50" w:rsidRPr="00A75BED" w:rsidRDefault="00A25E50" w:rsidP="007152C2">
      <w:pPr>
        <w:pStyle w:val="Heading2"/>
        <w:spacing w:before="0"/>
        <w:jc w:val="both"/>
        <w:rPr>
          <w:rFonts w:ascii="Calibri" w:eastAsiaTheme="minorEastAsia" w:hAnsi="Calibri" w:cs="Calibri"/>
          <w:iCs w:val="0"/>
          <w:color w:val="414042" w:themeColor="text1"/>
          <w:sz w:val="22"/>
          <w:lang w:val="en-AU" w:bidi="ar-SA"/>
        </w:rPr>
      </w:pPr>
    </w:p>
    <w:p w14:paraId="2EA3B19C" w14:textId="77777777" w:rsidR="00A25E50" w:rsidRPr="00A75BED" w:rsidRDefault="00A25E50" w:rsidP="00A25E50">
      <w:pPr>
        <w:rPr>
          <w:rFonts w:ascii="Calibri" w:hAnsi="Calibri" w:cs="Calibri"/>
        </w:rPr>
      </w:pPr>
    </w:p>
    <w:p w14:paraId="178A1257" w14:textId="1FABC9E6" w:rsidR="009E7EF6" w:rsidRPr="00A75BED" w:rsidRDefault="009E7EF6" w:rsidP="007152C2">
      <w:pPr>
        <w:pStyle w:val="Heading2"/>
        <w:spacing w:before="0"/>
        <w:jc w:val="both"/>
        <w:rPr>
          <w:rFonts w:ascii="Calibri" w:eastAsiaTheme="minorEastAsia" w:hAnsi="Calibri" w:cs="Calibri"/>
          <w:iCs w:val="0"/>
          <w:color w:val="414042" w:themeColor="text1"/>
          <w:sz w:val="22"/>
          <w:lang w:val="en-AU" w:bidi="ar-SA"/>
        </w:rPr>
      </w:pPr>
      <w:r w:rsidRPr="00A75BED">
        <w:rPr>
          <w:rFonts w:ascii="Calibri" w:eastAsiaTheme="minorEastAsia" w:hAnsi="Calibri" w:cs="Calibri"/>
          <w:iCs w:val="0"/>
          <w:color w:val="414042" w:themeColor="text1"/>
          <w:sz w:val="22"/>
          <w:lang w:val="en-AU" w:bidi="ar-SA"/>
        </w:rPr>
        <w:t>Australian Economy</w:t>
      </w:r>
    </w:p>
    <w:p w14:paraId="26EE5924" w14:textId="43657070" w:rsidR="009E7EF6" w:rsidRPr="00A75BED" w:rsidRDefault="00E83078" w:rsidP="007152C2">
      <w:pPr>
        <w:spacing w:before="0" w:after="240"/>
        <w:jc w:val="both"/>
        <w:rPr>
          <w:rFonts w:ascii="Calibri" w:hAnsi="Calibri" w:cs="Calibri"/>
        </w:rPr>
      </w:pPr>
      <w:r w:rsidRPr="00A75BED">
        <w:rPr>
          <w:rFonts w:ascii="Calibri" w:hAnsi="Calibri" w:cs="Calibri"/>
        </w:rPr>
        <w:t>Australia</w:t>
      </w:r>
      <w:r w:rsidR="004C57B4" w:rsidRPr="00A75BED">
        <w:rPr>
          <w:rFonts w:ascii="Calibri" w:hAnsi="Calibri" w:cs="Calibri"/>
        </w:rPr>
        <w:t>'</w:t>
      </w:r>
      <w:r w:rsidRPr="00A75BED">
        <w:rPr>
          <w:rFonts w:ascii="Calibri" w:hAnsi="Calibri" w:cs="Calibri"/>
        </w:rPr>
        <w:t>s latest GDP data for the</w:t>
      </w:r>
      <w:r w:rsidR="00CF265D" w:rsidRPr="00A75BED">
        <w:rPr>
          <w:rFonts w:ascii="Calibri" w:hAnsi="Calibri" w:cs="Calibri"/>
        </w:rPr>
        <w:t xml:space="preserve"> </w:t>
      </w:r>
      <w:r w:rsidR="00B73417" w:rsidRPr="00A75BED">
        <w:rPr>
          <w:rFonts w:ascii="Calibri" w:hAnsi="Calibri" w:cs="Calibri"/>
        </w:rPr>
        <w:t>first</w:t>
      </w:r>
      <w:r w:rsidRPr="00A75BED">
        <w:rPr>
          <w:rFonts w:ascii="Calibri" w:hAnsi="Calibri" w:cs="Calibri"/>
        </w:rPr>
        <w:t xml:space="preserve"> quarter of 202</w:t>
      </w:r>
      <w:r w:rsidR="00B73417" w:rsidRPr="00A75BED">
        <w:rPr>
          <w:rFonts w:ascii="Calibri" w:hAnsi="Calibri" w:cs="Calibri"/>
        </w:rPr>
        <w:t>6</w:t>
      </w:r>
      <w:r w:rsidRPr="00A75BED">
        <w:rPr>
          <w:rFonts w:ascii="Calibri" w:hAnsi="Calibri" w:cs="Calibri"/>
        </w:rPr>
        <w:t xml:space="preserve"> </w:t>
      </w:r>
      <w:r w:rsidR="000653A6" w:rsidRPr="00A75BED">
        <w:rPr>
          <w:rFonts w:ascii="Calibri" w:hAnsi="Calibri" w:cs="Calibri"/>
        </w:rPr>
        <w:t>showed an annual growth rate of 2.</w:t>
      </w:r>
      <w:r w:rsidR="00B73417" w:rsidRPr="00A75BED">
        <w:rPr>
          <w:rFonts w:ascii="Calibri" w:hAnsi="Calibri" w:cs="Calibri"/>
        </w:rPr>
        <w:t>5</w:t>
      </w:r>
      <w:r w:rsidR="000653A6" w:rsidRPr="00A75BED">
        <w:rPr>
          <w:rFonts w:ascii="Calibri" w:hAnsi="Calibri" w:cs="Calibri"/>
        </w:rPr>
        <w:t>%,</w:t>
      </w:r>
      <w:r w:rsidRPr="00A75BED">
        <w:rPr>
          <w:rFonts w:ascii="Calibri" w:hAnsi="Calibri" w:cs="Calibri"/>
        </w:rPr>
        <w:t xml:space="preserve"> </w:t>
      </w:r>
      <w:r w:rsidR="00B73417" w:rsidRPr="00A75BED">
        <w:rPr>
          <w:rFonts w:ascii="Calibri" w:hAnsi="Calibri" w:cs="Calibri"/>
        </w:rPr>
        <w:t>marginally down</w:t>
      </w:r>
      <w:r w:rsidR="004A6175" w:rsidRPr="00A75BED">
        <w:rPr>
          <w:rFonts w:ascii="Calibri" w:hAnsi="Calibri" w:cs="Calibri"/>
        </w:rPr>
        <w:t xml:space="preserve"> from </w:t>
      </w:r>
      <w:r w:rsidR="00B6636D" w:rsidRPr="00A75BED">
        <w:rPr>
          <w:rFonts w:ascii="Calibri" w:hAnsi="Calibri" w:cs="Calibri"/>
        </w:rPr>
        <w:t>2.</w:t>
      </w:r>
      <w:r w:rsidR="00B73417" w:rsidRPr="00A75BED">
        <w:rPr>
          <w:rFonts w:ascii="Calibri" w:hAnsi="Calibri" w:cs="Calibri"/>
        </w:rPr>
        <w:t>6</w:t>
      </w:r>
      <w:r w:rsidR="004A6175" w:rsidRPr="00A75BED">
        <w:rPr>
          <w:rFonts w:ascii="Calibri" w:hAnsi="Calibri" w:cs="Calibri"/>
        </w:rPr>
        <w:t>%</w:t>
      </w:r>
      <w:r w:rsidR="009C7D80" w:rsidRPr="00A75BED">
        <w:rPr>
          <w:rFonts w:ascii="Calibri" w:hAnsi="Calibri" w:cs="Calibri"/>
        </w:rPr>
        <w:t xml:space="preserve"> </w:t>
      </w:r>
      <w:r w:rsidR="001F699A" w:rsidRPr="00A75BED">
        <w:rPr>
          <w:rFonts w:ascii="Calibri" w:hAnsi="Calibri" w:cs="Calibri"/>
        </w:rPr>
        <w:t xml:space="preserve">in the </w:t>
      </w:r>
      <w:r w:rsidR="00B73417" w:rsidRPr="00A75BED">
        <w:rPr>
          <w:rFonts w:ascii="Calibri" w:hAnsi="Calibri" w:cs="Calibri"/>
        </w:rPr>
        <w:t>final</w:t>
      </w:r>
      <w:r w:rsidRPr="00A75BED">
        <w:rPr>
          <w:rFonts w:ascii="Calibri" w:hAnsi="Calibri" w:cs="Calibri"/>
        </w:rPr>
        <w:t xml:space="preserve"> </w:t>
      </w:r>
      <w:r w:rsidR="00505DDC" w:rsidRPr="00A75BED">
        <w:rPr>
          <w:rFonts w:ascii="Calibri" w:hAnsi="Calibri" w:cs="Calibri"/>
        </w:rPr>
        <w:t xml:space="preserve">quarter </w:t>
      </w:r>
      <w:r w:rsidRPr="00A75BED">
        <w:rPr>
          <w:rFonts w:ascii="Calibri" w:hAnsi="Calibri" w:cs="Calibri"/>
        </w:rPr>
        <w:t>of 202</w:t>
      </w:r>
      <w:r w:rsidR="009C7D80" w:rsidRPr="00A75BED">
        <w:rPr>
          <w:rFonts w:ascii="Calibri" w:hAnsi="Calibri" w:cs="Calibri"/>
        </w:rPr>
        <w:t>5</w:t>
      </w:r>
      <w:r w:rsidR="002656F2" w:rsidRPr="00A75BED">
        <w:rPr>
          <w:rFonts w:ascii="Calibri" w:hAnsi="Calibri" w:cs="Calibri"/>
        </w:rPr>
        <w:t>.</w:t>
      </w:r>
      <w:r w:rsidRPr="00A75BED">
        <w:rPr>
          <w:rFonts w:ascii="Calibri" w:hAnsi="Calibri" w:cs="Calibri"/>
        </w:rPr>
        <w:t xml:space="preserve"> Unemployment </w:t>
      </w:r>
      <w:r w:rsidR="00916D58" w:rsidRPr="00A75BED">
        <w:rPr>
          <w:rFonts w:ascii="Calibri" w:hAnsi="Calibri" w:cs="Calibri"/>
        </w:rPr>
        <w:t>decreased</w:t>
      </w:r>
      <w:r w:rsidR="000A1FDF" w:rsidRPr="00A75BED">
        <w:rPr>
          <w:rFonts w:ascii="Calibri" w:hAnsi="Calibri" w:cs="Calibri"/>
        </w:rPr>
        <w:t xml:space="preserve"> marginally in </w:t>
      </w:r>
      <w:r w:rsidR="00916D58" w:rsidRPr="00A75BED">
        <w:rPr>
          <w:rFonts w:ascii="Calibri" w:hAnsi="Calibri" w:cs="Calibri"/>
        </w:rPr>
        <w:t>May</w:t>
      </w:r>
      <w:r w:rsidR="00772C26" w:rsidRPr="00A75BED">
        <w:rPr>
          <w:rFonts w:ascii="Calibri" w:hAnsi="Calibri" w:cs="Calibri"/>
        </w:rPr>
        <w:t xml:space="preserve"> to 4.</w:t>
      </w:r>
      <w:r w:rsidR="00883D67" w:rsidRPr="00A75BED">
        <w:rPr>
          <w:rFonts w:ascii="Calibri" w:hAnsi="Calibri" w:cs="Calibri"/>
        </w:rPr>
        <w:t>4</w:t>
      </w:r>
      <w:r w:rsidR="00772C26" w:rsidRPr="00A75BED">
        <w:rPr>
          <w:rFonts w:ascii="Calibri" w:hAnsi="Calibri" w:cs="Calibri"/>
        </w:rPr>
        <w:t xml:space="preserve">%, </w:t>
      </w:r>
      <w:r w:rsidR="00883D67" w:rsidRPr="00A75BED">
        <w:rPr>
          <w:rFonts w:ascii="Calibri" w:hAnsi="Calibri" w:cs="Calibri"/>
        </w:rPr>
        <w:t>down</w:t>
      </w:r>
      <w:r w:rsidR="00772C26" w:rsidRPr="00A75BED">
        <w:rPr>
          <w:rFonts w:ascii="Calibri" w:hAnsi="Calibri" w:cs="Calibri"/>
        </w:rPr>
        <w:t xml:space="preserve"> from 4.</w:t>
      </w:r>
      <w:r w:rsidR="00883D67" w:rsidRPr="00A75BED">
        <w:rPr>
          <w:rFonts w:ascii="Calibri" w:hAnsi="Calibri" w:cs="Calibri"/>
        </w:rPr>
        <w:t>5</w:t>
      </w:r>
      <w:r w:rsidR="00772C26" w:rsidRPr="00A75BED">
        <w:rPr>
          <w:rFonts w:ascii="Calibri" w:hAnsi="Calibri" w:cs="Calibri"/>
        </w:rPr>
        <w:t xml:space="preserve">% in </w:t>
      </w:r>
      <w:r w:rsidR="00883D67" w:rsidRPr="00A75BED">
        <w:rPr>
          <w:rFonts w:ascii="Calibri" w:hAnsi="Calibri" w:cs="Calibri"/>
        </w:rPr>
        <w:t>April</w:t>
      </w:r>
      <w:r w:rsidR="00772C26" w:rsidRPr="00A75BED">
        <w:rPr>
          <w:rFonts w:ascii="Calibri" w:hAnsi="Calibri" w:cs="Calibri"/>
        </w:rPr>
        <w:t xml:space="preserve"> 2026.</w:t>
      </w:r>
      <w:r w:rsidRPr="00A75BED">
        <w:rPr>
          <w:rFonts w:ascii="Calibri" w:hAnsi="Calibri" w:cs="Calibri"/>
        </w:rPr>
        <w:t xml:space="preserve"> The </w:t>
      </w:r>
      <w:r w:rsidR="000E3302" w:rsidRPr="00A75BED">
        <w:rPr>
          <w:rFonts w:ascii="Calibri" w:hAnsi="Calibri" w:cs="Calibri"/>
        </w:rPr>
        <w:t xml:space="preserve">year-over-year (Y-O-Y) inflation rate </w:t>
      </w:r>
      <w:r w:rsidR="007B1C08" w:rsidRPr="00A75BED">
        <w:rPr>
          <w:rFonts w:ascii="Calibri" w:hAnsi="Calibri" w:cs="Calibri"/>
        </w:rPr>
        <w:t>decreased</w:t>
      </w:r>
      <w:r w:rsidR="00995369" w:rsidRPr="00A75BED">
        <w:rPr>
          <w:rFonts w:ascii="Calibri" w:hAnsi="Calibri" w:cs="Calibri"/>
        </w:rPr>
        <w:t xml:space="preserve"> to 4.</w:t>
      </w:r>
      <w:r w:rsidR="00883D67" w:rsidRPr="00A75BED">
        <w:rPr>
          <w:rFonts w:ascii="Calibri" w:hAnsi="Calibri" w:cs="Calibri"/>
        </w:rPr>
        <w:t>0</w:t>
      </w:r>
      <w:r w:rsidR="00995369" w:rsidRPr="00A75BED">
        <w:rPr>
          <w:rFonts w:ascii="Calibri" w:hAnsi="Calibri" w:cs="Calibri"/>
        </w:rPr>
        <w:t xml:space="preserve">%, </w:t>
      </w:r>
      <w:r w:rsidR="007B1C08" w:rsidRPr="00A75BED">
        <w:rPr>
          <w:rFonts w:ascii="Calibri" w:hAnsi="Calibri" w:cs="Calibri"/>
        </w:rPr>
        <w:t>down</w:t>
      </w:r>
      <w:r w:rsidR="00995369" w:rsidRPr="00A75BED">
        <w:rPr>
          <w:rFonts w:ascii="Calibri" w:hAnsi="Calibri" w:cs="Calibri"/>
        </w:rPr>
        <w:t xml:space="preserve"> from</w:t>
      </w:r>
      <w:r w:rsidR="002B309B" w:rsidRPr="00A75BED">
        <w:rPr>
          <w:rFonts w:ascii="Calibri" w:hAnsi="Calibri" w:cs="Calibri"/>
        </w:rPr>
        <w:t xml:space="preserve"> </w:t>
      </w:r>
      <w:r w:rsidR="007B1C08" w:rsidRPr="00A75BED">
        <w:rPr>
          <w:rFonts w:ascii="Calibri" w:hAnsi="Calibri" w:cs="Calibri"/>
        </w:rPr>
        <w:t>4.</w:t>
      </w:r>
      <w:r w:rsidR="009951BB" w:rsidRPr="00A75BED">
        <w:rPr>
          <w:rFonts w:ascii="Calibri" w:hAnsi="Calibri" w:cs="Calibri"/>
        </w:rPr>
        <w:t>0</w:t>
      </w:r>
      <w:r w:rsidR="000E3302" w:rsidRPr="00A75BED">
        <w:rPr>
          <w:rFonts w:ascii="Calibri" w:hAnsi="Calibri" w:cs="Calibri"/>
        </w:rPr>
        <w:t xml:space="preserve">% in </w:t>
      </w:r>
      <w:r w:rsidR="009951BB" w:rsidRPr="00A75BED">
        <w:rPr>
          <w:rFonts w:ascii="Calibri" w:hAnsi="Calibri" w:cs="Calibri"/>
        </w:rPr>
        <w:t>May</w:t>
      </w:r>
      <w:r w:rsidR="000E3302" w:rsidRPr="00A75BED">
        <w:rPr>
          <w:rFonts w:ascii="Calibri" w:hAnsi="Calibri" w:cs="Calibri"/>
        </w:rPr>
        <w:t xml:space="preserve"> 202</w:t>
      </w:r>
      <w:r w:rsidR="002B309B" w:rsidRPr="00A75BED">
        <w:rPr>
          <w:rFonts w:ascii="Calibri" w:hAnsi="Calibri" w:cs="Calibri"/>
        </w:rPr>
        <w:t>6</w:t>
      </w:r>
      <w:r w:rsidR="000E3302" w:rsidRPr="00A75BED">
        <w:rPr>
          <w:rFonts w:ascii="Calibri" w:hAnsi="Calibri" w:cs="Calibri"/>
        </w:rPr>
        <w:t xml:space="preserve">, </w:t>
      </w:r>
      <w:r w:rsidR="007B1C08" w:rsidRPr="00A75BED">
        <w:rPr>
          <w:rFonts w:ascii="Calibri" w:hAnsi="Calibri" w:cs="Calibri"/>
        </w:rPr>
        <w:t>but</w:t>
      </w:r>
      <w:r w:rsidR="00F17EC9" w:rsidRPr="00A75BED">
        <w:rPr>
          <w:rFonts w:ascii="Calibri" w:hAnsi="Calibri" w:cs="Calibri"/>
        </w:rPr>
        <w:t xml:space="preserve"> remains </w:t>
      </w:r>
      <w:r w:rsidR="000E3302" w:rsidRPr="00A75BED">
        <w:rPr>
          <w:rFonts w:ascii="Calibri" w:hAnsi="Calibri" w:cs="Calibri"/>
        </w:rPr>
        <w:t>outside the Reserve Bank's targeted 2% to 3% inflation</w:t>
      </w:r>
      <w:r w:rsidR="009E7EF6" w:rsidRPr="00A75BED">
        <w:rPr>
          <w:rFonts w:ascii="Calibri" w:hAnsi="Calibri" w:cs="Calibri"/>
        </w:rPr>
        <w:t xml:space="preserve"> range</w:t>
      </w:r>
      <w:r w:rsidR="00EB7ADD" w:rsidRPr="00A75BED">
        <w:rPr>
          <w:rFonts w:ascii="Calibri" w:hAnsi="Calibri" w:cs="Calibri"/>
        </w:rPr>
        <w:t xml:space="preserve"> and </w:t>
      </w:r>
      <w:r w:rsidR="00F23A1A">
        <w:rPr>
          <w:rFonts w:ascii="Calibri" w:hAnsi="Calibri" w:cs="Calibri"/>
        </w:rPr>
        <w:t>could prompt</w:t>
      </w:r>
      <w:r w:rsidR="00BA3B00" w:rsidRPr="00A75BED">
        <w:rPr>
          <w:rFonts w:ascii="Calibri" w:hAnsi="Calibri" w:cs="Calibri"/>
        </w:rPr>
        <w:t xml:space="preserve"> a</w:t>
      </w:r>
      <w:r w:rsidR="007B1C08" w:rsidRPr="00A75BED">
        <w:rPr>
          <w:rFonts w:ascii="Calibri" w:hAnsi="Calibri" w:cs="Calibri"/>
        </w:rPr>
        <w:t xml:space="preserve">nother </w:t>
      </w:r>
      <w:r w:rsidR="00BA3B00" w:rsidRPr="00A75BED">
        <w:rPr>
          <w:rFonts w:ascii="Calibri" w:hAnsi="Calibri" w:cs="Calibri"/>
        </w:rPr>
        <w:t xml:space="preserve">rate hike </w:t>
      </w:r>
      <w:r w:rsidR="007B1C08" w:rsidRPr="00A75BED">
        <w:rPr>
          <w:rFonts w:ascii="Calibri" w:hAnsi="Calibri" w:cs="Calibri"/>
        </w:rPr>
        <w:t>later this year</w:t>
      </w:r>
      <w:r w:rsidR="009E7EF6" w:rsidRPr="00A75BED">
        <w:rPr>
          <w:rFonts w:ascii="Calibri" w:hAnsi="Calibri" w:cs="Calibri"/>
        </w:rPr>
        <w:t xml:space="preserve">. </w:t>
      </w:r>
    </w:p>
    <w:p w14:paraId="2527D827" w14:textId="68D862A9" w:rsidR="00147535" w:rsidRPr="00A75BED" w:rsidRDefault="000D5813" w:rsidP="00827803">
      <w:pPr>
        <w:spacing w:before="0" w:after="0"/>
        <w:jc w:val="center"/>
      </w:pPr>
      <w:r w:rsidRPr="00A75BED">
        <w:rPr>
          <w:noProof/>
        </w:rPr>
        <w:drawing>
          <wp:inline distT="0" distB="0" distL="0" distR="0" wp14:anchorId="50CD4BDB" wp14:editId="4D07ABE4">
            <wp:extent cx="2845421" cy="2367507"/>
            <wp:effectExtent l="0" t="0" r="0" b="0"/>
            <wp:docPr id="14189864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8986445" name=""/>
                    <pic:cNvPicPr/>
                  </pic:nvPicPr>
                  <pic:blipFill>
                    <a:blip r:embed="rId14"/>
                    <a:stretch>
                      <a:fillRect/>
                    </a:stretch>
                  </pic:blipFill>
                  <pic:spPr>
                    <a:xfrm>
                      <a:off x="0" y="0"/>
                      <a:ext cx="2863559" cy="2382599"/>
                    </a:xfrm>
                    <a:prstGeom prst="rect">
                      <a:avLst/>
                    </a:prstGeom>
                  </pic:spPr>
                </pic:pic>
              </a:graphicData>
            </a:graphic>
          </wp:inline>
        </w:drawing>
      </w:r>
      <w:r w:rsidR="00747FD6" w:rsidRPr="00A75BED">
        <w:rPr>
          <w:noProof/>
        </w:rPr>
        <w:drawing>
          <wp:inline distT="0" distB="0" distL="0" distR="0" wp14:anchorId="694058EC" wp14:editId="64A050D7">
            <wp:extent cx="2598645" cy="2453853"/>
            <wp:effectExtent l="0" t="0" r="0" b="3810"/>
            <wp:docPr id="11132618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3261817" name=""/>
                    <pic:cNvPicPr/>
                  </pic:nvPicPr>
                  <pic:blipFill>
                    <a:blip r:embed="rId15"/>
                    <a:stretch>
                      <a:fillRect/>
                    </a:stretch>
                  </pic:blipFill>
                  <pic:spPr>
                    <a:xfrm>
                      <a:off x="0" y="0"/>
                      <a:ext cx="2598645" cy="2453853"/>
                    </a:xfrm>
                    <a:prstGeom prst="rect">
                      <a:avLst/>
                    </a:prstGeom>
                  </pic:spPr>
                </pic:pic>
              </a:graphicData>
            </a:graphic>
          </wp:inline>
        </w:drawing>
      </w:r>
    </w:p>
    <w:p w14:paraId="13598D04" w14:textId="2D54B170" w:rsidR="009E7EF6" w:rsidRPr="00A75BED" w:rsidRDefault="00147535" w:rsidP="007152C2">
      <w:pPr>
        <w:pStyle w:val="Heading2"/>
        <w:jc w:val="both"/>
        <w:rPr>
          <w:rFonts w:ascii="Calibri" w:eastAsiaTheme="minorEastAsia" w:hAnsi="Calibri" w:cs="Calibri"/>
          <w:iCs w:val="0"/>
          <w:color w:val="414042" w:themeColor="text1"/>
          <w:sz w:val="22"/>
          <w:lang w:val="en-AU" w:bidi="ar-SA"/>
        </w:rPr>
      </w:pPr>
      <w:r w:rsidRPr="00A75BED">
        <w:rPr>
          <w:rFonts w:ascii="Calibri" w:eastAsiaTheme="minorEastAsia" w:hAnsi="Calibri" w:cs="Calibri"/>
          <w:iCs w:val="0"/>
          <w:color w:val="414042" w:themeColor="text1"/>
          <w:sz w:val="22"/>
          <w:lang w:val="en-AU" w:bidi="ar-SA"/>
        </w:rPr>
        <w:lastRenderedPageBreak/>
        <w:t>Curr</w:t>
      </w:r>
      <w:r w:rsidR="009E7EF6" w:rsidRPr="00A75BED">
        <w:rPr>
          <w:rFonts w:ascii="Calibri" w:eastAsiaTheme="minorEastAsia" w:hAnsi="Calibri" w:cs="Calibri"/>
          <w:iCs w:val="0"/>
          <w:color w:val="414042" w:themeColor="text1"/>
          <w:sz w:val="22"/>
          <w:lang w:val="en-AU" w:bidi="ar-SA"/>
        </w:rPr>
        <w:t>ent Market View</w:t>
      </w:r>
    </w:p>
    <w:p w14:paraId="6D8387E0" w14:textId="77777777" w:rsidR="009E7EF6" w:rsidRPr="00A75BED" w:rsidRDefault="009E7EF6" w:rsidP="007152C2">
      <w:pPr>
        <w:pStyle w:val="Heading3"/>
        <w:jc w:val="both"/>
        <w:rPr>
          <w:rFonts w:ascii="Calibri" w:eastAsiaTheme="minorEastAsia" w:hAnsi="Calibri" w:cs="Calibri"/>
          <w:iCs w:val="0"/>
          <w:caps w:val="0"/>
          <w:color w:val="414042" w:themeColor="text1"/>
          <w:lang w:val="en-AU" w:bidi="ar-SA"/>
        </w:rPr>
      </w:pPr>
      <w:r w:rsidRPr="00A75BED">
        <w:rPr>
          <w:rFonts w:ascii="Calibri" w:eastAsiaTheme="minorEastAsia" w:hAnsi="Calibri" w:cs="Calibri"/>
          <w:iCs w:val="0"/>
          <w:caps w:val="0"/>
          <w:color w:val="414042" w:themeColor="text1"/>
          <w:lang w:val="en-AU" w:bidi="ar-SA"/>
        </w:rPr>
        <w:t>Domestic View</w:t>
      </w:r>
    </w:p>
    <w:p w14:paraId="79E48C03" w14:textId="08948ED8" w:rsidR="00341332" w:rsidRPr="00A75BED" w:rsidRDefault="00D658F2" w:rsidP="007152C2">
      <w:pPr>
        <w:jc w:val="both"/>
        <w:rPr>
          <w:rFonts w:ascii="Calibri" w:hAnsi="Calibri" w:cs="Calibri"/>
          <w:b/>
          <w:bCs/>
        </w:rPr>
      </w:pPr>
      <w:r w:rsidRPr="00A75BED">
        <w:rPr>
          <w:rFonts w:ascii="Calibri" w:hAnsi="Calibri" w:cs="Calibri"/>
        </w:rPr>
        <w:t xml:space="preserve">The overall </w:t>
      </w:r>
      <w:r w:rsidR="002C2046" w:rsidRPr="00A75BED">
        <w:rPr>
          <w:rFonts w:ascii="Calibri" w:hAnsi="Calibri" w:cs="Calibri"/>
        </w:rPr>
        <w:t xml:space="preserve">investment </w:t>
      </w:r>
      <w:r w:rsidR="00242925" w:rsidRPr="00A75BED">
        <w:rPr>
          <w:rFonts w:ascii="Calibri" w:hAnsi="Calibri" w:cs="Calibri"/>
        </w:rPr>
        <w:t>view</w:t>
      </w:r>
      <w:r w:rsidRPr="00A75BED">
        <w:rPr>
          <w:rFonts w:ascii="Calibri" w:hAnsi="Calibri" w:cs="Calibri"/>
        </w:rPr>
        <w:t xml:space="preserve"> </w:t>
      </w:r>
      <w:r w:rsidR="005A4CB4" w:rsidRPr="00A75BED">
        <w:rPr>
          <w:rFonts w:ascii="Calibri" w:hAnsi="Calibri" w:cs="Calibri"/>
        </w:rPr>
        <w:t xml:space="preserve">for shares </w:t>
      </w:r>
      <w:r w:rsidR="000E3302" w:rsidRPr="00A75BED">
        <w:rPr>
          <w:rFonts w:ascii="Calibri" w:hAnsi="Calibri" w:cs="Calibri"/>
          <w:b/>
          <w:bCs/>
        </w:rPr>
        <w:t>is "</w:t>
      </w:r>
      <w:r w:rsidR="00861D66" w:rsidRPr="00A75BED">
        <w:rPr>
          <w:rFonts w:ascii="Calibri" w:hAnsi="Calibri" w:cs="Calibri"/>
          <w:b/>
          <w:bCs/>
        </w:rPr>
        <w:t>cautious</w:t>
      </w:r>
      <w:r w:rsidR="000E3302" w:rsidRPr="00A75BED">
        <w:rPr>
          <w:rFonts w:ascii="Calibri" w:hAnsi="Calibri" w:cs="Calibri"/>
          <w:b/>
          <w:bCs/>
        </w:rPr>
        <w:t xml:space="preserve">" over the short term, "cautiously optimistic" over the medium term, and "long run" </w:t>
      </w:r>
      <w:r w:rsidR="00341332" w:rsidRPr="00A75BED">
        <w:rPr>
          <w:rFonts w:ascii="Calibri" w:hAnsi="Calibri" w:cs="Calibri"/>
        </w:rPr>
        <w:t xml:space="preserve">as corporate profits continue to grow </w:t>
      </w:r>
      <w:r w:rsidR="000653A6" w:rsidRPr="00A75BED">
        <w:rPr>
          <w:rFonts w:ascii="Calibri" w:hAnsi="Calibri" w:cs="Calibri"/>
        </w:rPr>
        <w:t xml:space="preserve">faster than inflation and </w:t>
      </w:r>
      <w:r w:rsidR="003A2E3B" w:rsidRPr="00A75BED">
        <w:rPr>
          <w:rFonts w:ascii="Calibri" w:hAnsi="Calibri" w:cs="Calibri"/>
        </w:rPr>
        <w:t>as the need to build out data centres drives commodity prices higher</w:t>
      </w:r>
      <w:r w:rsidR="006E4355" w:rsidRPr="00A75BED">
        <w:rPr>
          <w:rFonts w:ascii="Calibri" w:hAnsi="Calibri" w:cs="Calibri"/>
        </w:rPr>
        <w:t>.</w:t>
      </w:r>
    </w:p>
    <w:p w14:paraId="09E86B6C" w14:textId="0C98F70E" w:rsidR="0018703E" w:rsidRPr="00A75BED" w:rsidRDefault="0018703E" w:rsidP="007152C2">
      <w:pPr>
        <w:jc w:val="both"/>
        <w:rPr>
          <w:rFonts w:ascii="Calibri" w:hAnsi="Calibri" w:cs="Calibri"/>
        </w:rPr>
      </w:pPr>
      <w:r w:rsidRPr="00A75BED">
        <w:rPr>
          <w:rFonts w:ascii="Calibri" w:hAnsi="Calibri" w:cs="Calibri"/>
        </w:rPr>
        <w:t xml:space="preserve">The market </w:t>
      </w:r>
      <w:r w:rsidR="00927F06" w:rsidRPr="00A75BED">
        <w:rPr>
          <w:rFonts w:ascii="Calibri" w:hAnsi="Calibri" w:cs="Calibri"/>
        </w:rPr>
        <w:t xml:space="preserve">is currently </w:t>
      </w:r>
      <w:r w:rsidR="006E4109" w:rsidRPr="00A75BED">
        <w:rPr>
          <w:rFonts w:ascii="Calibri" w:hAnsi="Calibri" w:cs="Calibri"/>
        </w:rPr>
        <w:t xml:space="preserve">pricing in a </w:t>
      </w:r>
      <w:r w:rsidR="003A2E3B" w:rsidRPr="00A75BED">
        <w:rPr>
          <w:rFonts w:ascii="Calibri" w:hAnsi="Calibri" w:cs="Calibri"/>
        </w:rPr>
        <w:t>half an</w:t>
      </w:r>
      <w:r w:rsidR="00927F06" w:rsidRPr="00A75BED">
        <w:rPr>
          <w:rFonts w:ascii="Calibri" w:hAnsi="Calibri" w:cs="Calibri"/>
        </w:rPr>
        <w:t xml:space="preserve"> interest rate hike on </w:t>
      </w:r>
      <w:r w:rsidR="007F5563" w:rsidRPr="00A75BED">
        <w:rPr>
          <w:rFonts w:ascii="Calibri" w:hAnsi="Calibri" w:cs="Calibri"/>
        </w:rPr>
        <w:t xml:space="preserve">the </w:t>
      </w:r>
      <w:r w:rsidR="00F51751" w:rsidRPr="00A75BED">
        <w:rPr>
          <w:rFonts w:ascii="Calibri" w:hAnsi="Calibri" w:cs="Calibri"/>
        </w:rPr>
        <w:t>10</w:t>
      </w:r>
      <w:r w:rsidR="00927F06" w:rsidRPr="00A75BED">
        <w:rPr>
          <w:rFonts w:ascii="Calibri" w:hAnsi="Calibri" w:cs="Calibri"/>
          <w:vertAlign w:val="superscript"/>
        </w:rPr>
        <w:t>th</w:t>
      </w:r>
      <w:r w:rsidR="000E3302" w:rsidRPr="00A75BED">
        <w:rPr>
          <w:rFonts w:ascii="Calibri" w:hAnsi="Calibri" w:cs="Calibri"/>
        </w:rPr>
        <w:t>/</w:t>
      </w:r>
      <w:r w:rsidR="00A4713F" w:rsidRPr="00A75BED">
        <w:rPr>
          <w:rFonts w:ascii="Calibri" w:hAnsi="Calibri" w:cs="Calibri"/>
        </w:rPr>
        <w:t>1</w:t>
      </w:r>
      <w:r w:rsidR="00F51751" w:rsidRPr="00A75BED">
        <w:rPr>
          <w:rFonts w:ascii="Calibri" w:hAnsi="Calibri" w:cs="Calibri"/>
        </w:rPr>
        <w:t>1</w:t>
      </w:r>
      <w:r w:rsidR="00927F06" w:rsidRPr="00A75BED">
        <w:rPr>
          <w:rFonts w:ascii="Calibri" w:hAnsi="Calibri" w:cs="Calibri"/>
          <w:vertAlign w:val="superscript"/>
        </w:rPr>
        <w:t>th</w:t>
      </w:r>
      <w:r w:rsidR="000E3302" w:rsidRPr="00A75BED">
        <w:rPr>
          <w:rFonts w:ascii="Calibri" w:hAnsi="Calibri" w:cs="Calibri"/>
        </w:rPr>
        <w:t xml:space="preserve"> of </w:t>
      </w:r>
      <w:r w:rsidR="00F51751" w:rsidRPr="00A75BED">
        <w:rPr>
          <w:rFonts w:ascii="Calibri" w:hAnsi="Calibri" w:cs="Calibri"/>
        </w:rPr>
        <w:t>August</w:t>
      </w:r>
      <w:r w:rsidR="000E3302" w:rsidRPr="00A75BED">
        <w:rPr>
          <w:rFonts w:ascii="Calibri" w:hAnsi="Calibri" w:cs="Calibri"/>
        </w:rPr>
        <w:t xml:space="preserve"> 2026, due to a "hotter" inflation print in </w:t>
      </w:r>
      <w:r w:rsidR="00F51751" w:rsidRPr="00A75BED">
        <w:rPr>
          <w:rFonts w:ascii="Calibri" w:hAnsi="Calibri" w:cs="Calibri"/>
        </w:rPr>
        <w:t>June</w:t>
      </w:r>
      <w:r w:rsidR="000E3302" w:rsidRPr="00A75BED">
        <w:rPr>
          <w:rFonts w:ascii="Calibri" w:hAnsi="Calibri" w:cs="Calibri"/>
        </w:rPr>
        <w:t xml:space="preserve"> that showed inflation is now outside the RBA's</w:t>
      </w:r>
      <w:r w:rsidR="003F223D" w:rsidRPr="00A75BED">
        <w:rPr>
          <w:rFonts w:ascii="Calibri" w:hAnsi="Calibri" w:cs="Calibri"/>
        </w:rPr>
        <w:t xml:space="preserve"> target range of 2-3%</w:t>
      </w:r>
      <w:r w:rsidR="00231718" w:rsidRPr="00A75BED">
        <w:rPr>
          <w:rFonts w:ascii="Calibri" w:hAnsi="Calibri" w:cs="Calibri"/>
        </w:rPr>
        <w:t xml:space="preserve">, in combination with increases in </w:t>
      </w:r>
      <w:r w:rsidR="00886C18" w:rsidRPr="00A75BED">
        <w:rPr>
          <w:rFonts w:ascii="Calibri" w:hAnsi="Calibri" w:cs="Calibri"/>
        </w:rPr>
        <w:t>food inflation</w:t>
      </w:r>
      <w:r w:rsidR="00231718" w:rsidRPr="00A75BED">
        <w:rPr>
          <w:rFonts w:ascii="Calibri" w:hAnsi="Calibri" w:cs="Calibri"/>
        </w:rPr>
        <w:t xml:space="preserve"> to increase inflation over the short-term</w:t>
      </w:r>
      <w:r w:rsidR="003F223D" w:rsidRPr="00A75BED">
        <w:rPr>
          <w:rFonts w:ascii="Calibri" w:hAnsi="Calibri" w:cs="Calibri"/>
        </w:rPr>
        <w:t>.</w:t>
      </w:r>
    </w:p>
    <w:p w14:paraId="1B4AEE86" w14:textId="58CB9E27" w:rsidR="009E7EF6" w:rsidRPr="00A75BED" w:rsidRDefault="009E7EF6" w:rsidP="007152C2">
      <w:pPr>
        <w:pStyle w:val="Heading3"/>
        <w:spacing w:before="120" w:after="120"/>
        <w:jc w:val="both"/>
        <w:rPr>
          <w:rFonts w:ascii="Calibri" w:eastAsiaTheme="minorEastAsia" w:hAnsi="Calibri" w:cs="Calibri"/>
          <w:iCs w:val="0"/>
          <w:caps w:val="0"/>
          <w:color w:val="414042" w:themeColor="text1"/>
          <w:lang w:val="en-AU" w:bidi="ar-SA"/>
        </w:rPr>
      </w:pPr>
      <w:r w:rsidRPr="00A75BED">
        <w:rPr>
          <w:rFonts w:ascii="Calibri" w:eastAsiaTheme="minorEastAsia" w:hAnsi="Calibri" w:cs="Calibri"/>
          <w:iCs w:val="0"/>
          <w:caps w:val="0"/>
          <w:color w:val="414042" w:themeColor="text1"/>
          <w:lang w:val="en-AU" w:bidi="ar-SA"/>
        </w:rPr>
        <w:t>Global View</w:t>
      </w:r>
    </w:p>
    <w:p w14:paraId="7E9D3284" w14:textId="17413861" w:rsidR="00374ED0" w:rsidRPr="00A75BED" w:rsidRDefault="00C32BB5" w:rsidP="007152C2">
      <w:pPr>
        <w:spacing w:before="120" w:after="120"/>
        <w:jc w:val="both"/>
        <w:rPr>
          <w:rFonts w:ascii="Calibri" w:hAnsi="Calibri" w:cs="Calibri"/>
        </w:rPr>
      </w:pPr>
      <w:r w:rsidRPr="00A75BED">
        <w:rPr>
          <w:rFonts w:ascii="Calibri" w:hAnsi="Calibri" w:cs="Calibri"/>
        </w:rPr>
        <w:t xml:space="preserve">The global share market remains </w:t>
      </w:r>
      <w:r w:rsidR="00374ED0" w:rsidRPr="00A75BED">
        <w:rPr>
          <w:rFonts w:ascii="Calibri" w:hAnsi="Calibri" w:cs="Calibri"/>
        </w:rPr>
        <w:t>cautious</w:t>
      </w:r>
      <w:r w:rsidR="003A2E3B" w:rsidRPr="00A75BED">
        <w:rPr>
          <w:rFonts w:ascii="Calibri" w:hAnsi="Calibri" w:cs="Calibri"/>
        </w:rPr>
        <w:t>, aside from a few AI companies, amid the looming threat of a global inflation spike that could force many economies to raise</w:t>
      </w:r>
      <w:r w:rsidR="00374ED0" w:rsidRPr="00A75BED">
        <w:rPr>
          <w:rFonts w:ascii="Calibri" w:hAnsi="Calibri" w:cs="Calibri"/>
        </w:rPr>
        <w:t xml:space="preserve"> interest rates. Given the current tensions in the </w:t>
      </w:r>
      <w:r w:rsidR="00904355" w:rsidRPr="00A75BED">
        <w:rPr>
          <w:rFonts w:ascii="Calibri" w:hAnsi="Calibri" w:cs="Calibri"/>
        </w:rPr>
        <w:t xml:space="preserve">Middle East, </w:t>
      </w:r>
      <w:r w:rsidR="003A2E3B" w:rsidRPr="00A75BED">
        <w:rPr>
          <w:rFonts w:ascii="Calibri" w:hAnsi="Calibri" w:cs="Calibri"/>
        </w:rPr>
        <w:t>we could see a global slowdown in GDP</w:t>
      </w:r>
      <w:r w:rsidR="00F23A1A">
        <w:rPr>
          <w:rFonts w:ascii="Calibri" w:hAnsi="Calibri" w:cs="Calibri"/>
        </w:rPr>
        <w:t xml:space="preserve"> growth, as energy production cannot keep pace</w:t>
      </w:r>
      <w:r w:rsidR="00904355" w:rsidRPr="00A75BED">
        <w:rPr>
          <w:rFonts w:ascii="Calibri" w:hAnsi="Calibri" w:cs="Calibri"/>
        </w:rPr>
        <w:t xml:space="preserve"> with the rollout of AI data centres</w:t>
      </w:r>
      <w:r w:rsidR="00374ED0" w:rsidRPr="00A75BED">
        <w:rPr>
          <w:rFonts w:ascii="Calibri" w:hAnsi="Calibri" w:cs="Calibri"/>
        </w:rPr>
        <w:t>.</w:t>
      </w:r>
    </w:p>
    <w:p w14:paraId="0B22891E" w14:textId="77777777" w:rsidR="004A5BF7" w:rsidRPr="00A75BED" w:rsidRDefault="004A5BF7" w:rsidP="007152C2">
      <w:pPr>
        <w:spacing w:before="120" w:after="120"/>
        <w:jc w:val="both"/>
        <w:rPr>
          <w:rFonts w:ascii="Calibri" w:hAnsi="Calibri" w:cs="Calibri"/>
          <w:b/>
          <w:bCs/>
        </w:rPr>
      </w:pPr>
    </w:p>
    <w:p w14:paraId="746B3093" w14:textId="1C9494F0" w:rsidR="00476B80" w:rsidRDefault="00FA2956" w:rsidP="007152C2">
      <w:pPr>
        <w:spacing w:before="120" w:after="120"/>
        <w:jc w:val="both"/>
        <w:rPr>
          <w:rFonts w:ascii="Calibri" w:hAnsi="Calibri" w:cs="Calibri"/>
          <w:b/>
          <w:bCs/>
        </w:rPr>
      </w:pPr>
      <w:r w:rsidRPr="00A75BED">
        <w:rPr>
          <w:rFonts w:ascii="Calibri" w:hAnsi="Calibri" w:cs="Calibri"/>
          <w:b/>
          <w:bCs/>
        </w:rPr>
        <w:t>Where to From Here?</w:t>
      </w:r>
    </w:p>
    <w:p w14:paraId="4F15116D" w14:textId="77777777" w:rsidR="00827803" w:rsidRPr="00A75BED" w:rsidRDefault="00827803" w:rsidP="00827803">
      <w:pPr>
        <w:pStyle w:val="ListParagraph"/>
        <w:numPr>
          <w:ilvl w:val="0"/>
          <w:numId w:val="17"/>
        </w:numPr>
        <w:spacing w:before="120" w:after="120"/>
        <w:jc w:val="both"/>
        <w:rPr>
          <w:rFonts w:eastAsiaTheme="minorEastAsia" w:cs="Calibri"/>
          <w:i w:val="0"/>
          <w:iCs w:val="0"/>
        </w:rPr>
      </w:pPr>
      <w:r w:rsidRPr="00A75BED">
        <w:rPr>
          <w:rFonts w:eastAsiaTheme="minorEastAsia" w:cs="Calibri"/>
          <w:i w:val="0"/>
          <w:iCs w:val="0"/>
        </w:rPr>
        <w:t>Continued shift from rules-based order and win-win multilateral trade to power-based order and win-lose trade deals. Trump did not start this. The shift started in the 2010s with the U.S./Europe letting Putin take Crimea in return for cheap gas for Germany/Europe, and the U.S./Japan letting China militarise the South China Sea. It has certainly accelerated under Trump. Lower cross-border trade &amp; investment, more reliance on government subsidies &amp; distortions, and inflationary onshoring of uneconomic industries.</w:t>
      </w:r>
    </w:p>
    <w:p w14:paraId="764A6CEB" w14:textId="77777777" w:rsidR="00827803" w:rsidRPr="00A75BED" w:rsidRDefault="00827803" w:rsidP="00827803">
      <w:pPr>
        <w:pStyle w:val="ListParagraph"/>
        <w:numPr>
          <w:ilvl w:val="0"/>
          <w:numId w:val="17"/>
        </w:numPr>
        <w:spacing w:before="120" w:after="120"/>
        <w:jc w:val="both"/>
        <w:rPr>
          <w:rFonts w:eastAsiaTheme="minorEastAsia" w:cs="Calibri"/>
          <w:i w:val="0"/>
          <w:iCs w:val="0"/>
        </w:rPr>
      </w:pPr>
      <w:r w:rsidRPr="00A75BED">
        <w:rPr>
          <w:rFonts w:eastAsiaTheme="minorEastAsia" w:cs="Calibri"/>
          <w:i w:val="0"/>
          <w:iCs w:val="0"/>
        </w:rPr>
        <w:t>Sticky inflation - political pressure on central banks to keep rates low – populist pressure on governments to keep deficit spending. Tariffs + onshoring are adding to costs/prices. Bond yields to stay elevated or even drift higher, risk of bond yield spikes, or a sudden need for rate hikes, unsettling / breaking share markets.</w:t>
      </w:r>
    </w:p>
    <w:p w14:paraId="204169E9" w14:textId="77777777" w:rsidR="00827803" w:rsidRPr="00A75BED" w:rsidRDefault="00827803" w:rsidP="00827803">
      <w:pPr>
        <w:pStyle w:val="ListParagraph"/>
        <w:numPr>
          <w:ilvl w:val="0"/>
          <w:numId w:val="17"/>
        </w:numPr>
        <w:spacing w:before="120" w:after="120"/>
        <w:jc w:val="both"/>
        <w:rPr>
          <w:rFonts w:eastAsiaTheme="minorEastAsia" w:cs="Calibri"/>
          <w:i w:val="0"/>
          <w:iCs w:val="0"/>
        </w:rPr>
      </w:pPr>
      <w:r w:rsidRPr="00A75BED">
        <w:rPr>
          <w:rFonts w:eastAsiaTheme="minorEastAsia" w:cs="Calibri"/>
          <w:i w:val="0"/>
          <w:iCs w:val="0"/>
        </w:rPr>
        <w:t xml:space="preserve">Share markets continue to be supported by good profit growth for now. Shares everywhere are expensive, </w:t>
      </w:r>
      <w:r>
        <w:rPr>
          <w:rFonts w:eastAsiaTheme="minorEastAsia" w:cs="Calibri"/>
          <w:i w:val="0"/>
          <w:iCs w:val="0"/>
        </w:rPr>
        <w:t>buoyed by loose monetary &amp; fiscal policies and</w:t>
      </w:r>
      <w:r w:rsidRPr="00A75BED">
        <w:rPr>
          <w:rFonts w:eastAsiaTheme="minorEastAsia" w:cs="Calibri"/>
          <w:i w:val="0"/>
          <w:iCs w:val="0"/>
        </w:rPr>
        <w:t xml:space="preserve"> a near-certainty that governments will throw 'free'/borrowed money at any problem.</w:t>
      </w:r>
    </w:p>
    <w:p w14:paraId="0888D0E9" w14:textId="77777777" w:rsidR="00827803" w:rsidRPr="00A75BED" w:rsidRDefault="00827803" w:rsidP="00827803">
      <w:pPr>
        <w:pStyle w:val="ListParagraph"/>
        <w:numPr>
          <w:ilvl w:val="0"/>
          <w:numId w:val="17"/>
        </w:numPr>
        <w:spacing w:before="120" w:after="120"/>
        <w:jc w:val="both"/>
        <w:rPr>
          <w:rFonts w:eastAsiaTheme="minorEastAsia" w:cs="Calibri"/>
          <w:i w:val="0"/>
          <w:iCs w:val="0"/>
        </w:rPr>
      </w:pPr>
      <w:r w:rsidRPr="00A75BED">
        <w:rPr>
          <w:rFonts w:eastAsiaTheme="minorEastAsia" w:cs="Calibri"/>
          <w:i w:val="0"/>
          <w:iCs w:val="0"/>
        </w:rPr>
        <w:t xml:space="preserve">Commodities rally gathering pace – rising demand soaking up oversupply, AI/data centre boom (industrial metals, energy, water, land), global rearmament – especially Europe, Japan, Canada. This should support the ASX market, </w:t>
      </w:r>
      <w:proofErr w:type="gramStart"/>
      <w:r w:rsidRPr="00A75BED">
        <w:rPr>
          <w:rFonts w:eastAsiaTheme="minorEastAsia" w:cs="Calibri"/>
          <w:i w:val="0"/>
          <w:iCs w:val="0"/>
        </w:rPr>
        <w:t>as long as</w:t>
      </w:r>
      <w:proofErr w:type="gramEnd"/>
      <w:r w:rsidRPr="00A75BED">
        <w:rPr>
          <w:rFonts w:eastAsiaTheme="minorEastAsia" w:cs="Calibri"/>
          <w:i w:val="0"/>
          <w:iCs w:val="0"/>
        </w:rPr>
        <w:t xml:space="preserve"> banks avoid a local recession.</w:t>
      </w:r>
    </w:p>
    <w:p w14:paraId="7EAFE883" w14:textId="77777777" w:rsidR="00827803" w:rsidRPr="000B5326" w:rsidRDefault="00827803" w:rsidP="00827803">
      <w:pPr>
        <w:jc w:val="both"/>
        <w:rPr>
          <w:sz w:val="16"/>
          <w:szCs w:val="16"/>
          <w:lang w:val="en-US"/>
        </w:rPr>
      </w:pPr>
    </w:p>
    <w:p w14:paraId="3D77DFE7" w14:textId="77777777" w:rsidR="00827803" w:rsidRPr="000B5326" w:rsidRDefault="00827803" w:rsidP="00827803">
      <w:pPr>
        <w:jc w:val="both"/>
        <w:rPr>
          <w:sz w:val="16"/>
          <w:szCs w:val="16"/>
          <w:lang w:val="en-US"/>
        </w:rPr>
        <w:sectPr w:rsidR="00827803" w:rsidRPr="000B5326" w:rsidSect="00827803">
          <w:headerReference w:type="default" r:id="rId16"/>
          <w:footerReference w:type="default" r:id="rId17"/>
          <w:type w:val="continuous"/>
          <w:pgSz w:w="11906" w:h="16838" w:code="9"/>
          <w:pgMar w:top="2948" w:right="1440" w:bottom="2041" w:left="1440" w:header="1021" w:footer="709" w:gutter="0"/>
          <w:cols w:space="708"/>
          <w:docGrid w:linePitch="360"/>
        </w:sectPr>
      </w:pPr>
    </w:p>
    <w:p w14:paraId="7495E311" w14:textId="6041AF5C" w:rsidR="00A05879" w:rsidRPr="00A05879" w:rsidRDefault="00A05879" w:rsidP="00A05879">
      <w:pPr>
        <w:spacing w:after="0"/>
        <w:rPr>
          <w:b/>
          <w:bCs/>
          <w:sz w:val="16"/>
          <w:szCs w:val="16"/>
          <w:lang w:val="en-US"/>
        </w:rPr>
      </w:pPr>
      <w:r w:rsidRPr="00A05879">
        <w:rPr>
          <w:b/>
          <w:bCs/>
          <w:sz w:val="16"/>
          <w:szCs w:val="16"/>
          <w:lang w:val="en-US"/>
        </w:rPr>
        <w:t>Footnote</w:t>
      </w:r>
    </w:p>
    <w:p w14:paraId="5338CDBD" w14:textId="07D0311D" w:rsidR="00827803" w:rsidRPr="008B6EA9" w:rsidRDefault="00827803" w:rsidP="00A05879">
      <w:pPr>
        <w:spacing w:before="0"/>
        <w:rPr>
          <w:sz w:val="16"/>
          <w:szCs w:val="16"/>
          <w:lang w:val="en-US"/>
        </w:rPr>
        <w:sectPr w:rsidR="00827803" w:rsidRPr="008B6EA9" w:rsidSect="00827803">
          <w:headerReference w:type="default" r:id="rId18"/>
          <w:footerReference w:type="default" r:id="rId19"/>
          <w:type w:val="continuous"/>
          <w:pgSz w:w="11906" w:h="16838" w:code="9"/>
          <w:pgMar w:top="2948" w:right="1440" w:bottom="2041" w:left="1440" w:header="1021" w:footer="709" w:gutter="0"/>
          <w:cols w:space="708"/>
          <w:docGrid w:linePitch="360"/>
        </w:sectPr>
      </w:pPr>
      <w:r w:rsidRPr="00827803">
        <w:rPr>
          <w:sz w:val="16"/>
          <w:szCs w:val="16"/>
          <w:lang w:val="en-US"/>
        </w:rPr>
        <w:t>This</w:t>
      </w:r>
      <w:r w:rsidR="008B6EA9" w:rsidRPr="008B6EA9">
        <w:rPr>
          <w:sz w:val="16"/>
          <w:szCs w:val="16"/>
          <w:lang w:val="en-US"/>
        </w:rPr>
        <w:t xml:space="preserve"> market update </w:t>
      </w:r>
      <w:r w:rsidR="008B6EA9">
        <w:rPr>
          <w:sz w:val="16"/>
          <w:szCs w:val="16"/>
          <w:lang w:val="en-US"/>
        </w:rPr>
        <w:t xml:space="preserve">is </w:t>
      </w:r>
      <w:r w:rsidR="008B6EA9" w:rsidRPr="008B6EA9">
        <w:rPr>
          <w:sz w:val="16"/>
          <w:szCs w:val="16"/>
          <w:lang w:val="en-US"/>
        </w:rPr>
        <w:t xml:space="preserve">written by </w:t>
      </w:r>
      <w:r w:rsidR="008B6EA9" w:rsidRPr="00827803">
        <w:rPr>
          <w:sz w:val="16"/>
          <w:szCs w:val="16"/>
          <w:lang w:val="en-US"/>
        </w:rPr>
        <w:t>Atlas Funds Management Pty Ltd</w:t>
      </w:r>
      <w:r w:rsidR="008B6EA9" w:rsidRPr="008B6EA9">
        <w:rPr>
          <w:sz w:val="16"/>
          <w:szCs w:val="16"/>
          <w:lang w:val="en-US"/>
        </w:rPr>
        <w:t xml:space="preserve"> for and on behalf of HNW Planning on</w:t>
      </w:r>
      <w:r w:rsidR="00B61341">
        <w:rPr>
          <w:sz w:val="16"/>
          <w:szCs w:val="16"/>
          <w:lang w:val="en-US"/>
        </w:rPr>
        <w:t xml:space="preserve"> 15</w:t>
      </w:r>
      <w:r w:rsidR="00B61341" w:rsidRPr="00B61341">
        <w:rPr>
          <w:sz w:val="16"/>
          <w:szCs w:val="16"/>
          <w:vertAlign w:val="superscript"/>
          <w:lang w:val="en-US"/>
        </w:rPr>
        <w:t>th</w:t>
      </w:r>
      <w:r w:rsidR="00B61341">
        <w:rPr>
          <w:sz w:val="16"/>
          <w:szCs w:val="16"/>
          <w:lang w:val="en-US"/>
        </w:rPr>
        <w:t xml:space="preserve"> July 2026</w:t>
      </w:r>
      <w:r w:rsidR="008B6EA9" w:rsidRPr="008B6EA9">
        <w:rPr>
          <w:sz w:val="16"/>
          <w:szCs w:val="16"/>
          <w:lang w:val="en-US"/>
        </w:rPr>
        <w:t>.</w:t>
      </w:r>
      <w:r w:rsidR="008B6EA9">
        <w:rPr>
          <w:sz w:val="16"/>
          <w:szCs w:val="16"/>
          <w:lang w:val="en-US"/>
        </w:rPr>
        <w:t xml:space="preserve"> </w:t>
      </w:r>
      <w:r w:rsidRPr="00827803">
        <w:rPr>
          <w:sz w:val="16"/>
          <w:szCs w:val="16"/>
          <w:lang w:val="en-US"/>
        </w:rPr>
        <w:t xml:space="preserve">Atlas Funds Management </w:t>
      </w:r>
      <w:r w:rsidR="00211170">
        <w:rPr>
          <w:sz w:val="16"/>
          <w:szCs w:val="16"/>
          <w:lang w:val="en-US"/>
        </w:rPr>
        <w:t>i</w:t>
      </w:r>
      <w:r w:rsidR="00211170" w:rsidRPr="00211170">
        <w:rPr>
          <w:sz w:val="16"/>
          <w:szCs w:val="16"/>
          <w:lang w:val="en-US"/>
        </w:rPr>
        <w:t xml:space="preserve">s an external asset consultant and consults </w:t>
      </w:r>
      <w:proofErr w:type="gramStart"/>
      <w:r w:rsidR="00211170" w:rsidRPr="00211170">
        <w:rPr>
          <w:sz w:val="16"/>
          <w:szCs w:val="16"/>
          <w:lang w:val="en-US"/>
        </w:rPr>
        <w:t>to</w:t>
      </w:r>
      <w:proofErr w:type="gramEnd"/>
      <w:r w:rsidR="00211170" w:rsidRPr="00211170">
        <w:rPr>
          <w:sz w:val="16"/>
          <w:szCs w:val="16"/>
          <w:lang w:val="en-US"/>
        </w:rPr>
        <w:t xml:space="preserve"> the HNW Investment Committee.</w:t>
      </w:r>
      <w:r w:rsidR="00211170">
        <w:rPr>
          <w:sz w:val="16"/>
          <w:szCs w:val="16"/>
          <w:lang w:val="en-US"/>
        </w:rPr>
        <w:t xml:space="preserve"> </w:t>
      </w:r>
      <w:r w:rsidR="00211170" w:rsidRPr="00827803">
        <w:rPr>
          <w:sz w:val="16"/>
          <w:szCs w:val="16"/>
          <w:lang w:val="en-US"/>
        </w:rPr>
        <w:t>Atlas Funds Management</w:t>
      </w:r>
      <w:r w:rsidR="00211170">
        <w:rPr>
          <w:sz w:val="16"/>
          <w:szCs w:val="16"/>
          <w:lang w:val="en-US"/>
        </w:rPr>
        <w:t xml:space="preserve"> </w:t>
      </w:r>
      <w:r w:rsidRPr="00827803">
        <w:rPr>
          <w:sz w:val="16"/>
          <w:szCs w:val="16"/>
          <w:lang w:val="en-US"/>
        </w:rPr>
        <w:t xml:space="preserve">does not provide </w:t>
      </w:r>
      <w:r w:rsidRPr="00827803">
        <w:rPr>
          <w:sz w:val="16"/>
          <w:szCs w:val="16"/>
          <w:lang w:val="en-US"/>
        </w:rPr>
        <w:lastRenderedPageBreak/>
        <w:t xml:space="preserve">any general advice or personal advice regarding any potential investment in any financial products within the meaning of section 766B of the Corporations Act. No consideration has been made of any specific person's investment objectives, financial situation or needs. The provision of this presentation is not and should not be considered as a recommendation in relation to an investment in any entity or that an investment in any entity is a suitable investment for any specific person. Recipients should make their own enquiries and evaluations they consider appropriate to determine the suitability of any investment (including their investment objectives, financial situation, and particular needs) and should seek all necessary financial, legal, tax and investment advice. Atlas Funds Management Pty Ltd, it's directors and employees do not accept any liability for the results of any actions taken or not taken </w:t>
      </w:r>
      <w:proofErr w:type="gramStart"/>
      <w:r w:rsidRPr="00827803">
        <w:rPr>
          <w:sz w:val="16"/>
          <w:szCs w:val="16"/>
          <w:lang w:val="en-US"/>
        </w:rPr>
        <w:t>on the basis of</w:t>
      </w:r>
      <w:proofErr w:type="gramEnd"/>
      <w:r w:rsidRPr="00827803">
        <w:rPr>
          <w:sz w:val="16"/>
          <w:szCs w:val="16"/>
          <w:lang w:val="en-US"/>
        </w:rPr>
        <w:t xml:space="preserve"> information in this presentation, or for any negligent misstatements, errors or omissions. This presentation is not an advertisement and is not intended for public use or distribution. Past performance of a fund is no guarantee of its future performance. </w:t>
      </w:r>
    </w:p>
    <w:p w14:paraId="39B7CFB1" w14:textId="77777777" w:rsidR="00827803" w:rsidRDefault="00827803" w:rsidP="007152C2">
      <w:pPr>
        <w:spacing w:before="120" w:after="120"/>
        <w:jc w:val="both"/>
        <w:rPr>
          <w:rFonts w:ascii="Calibri" w:hAnsi="Calibri" w:cs="Calibri"/>
          <w:b/>
          <w:bCs/>
        </w:rPr>
      </w:pPr>
    </w:p>
    <w:p w14:paraId="44D9F2D7" w14:textId="77777777" w:rsidR="008B6EA9" w:rsidRPr="00A75BED" w:rsidRDefault="008B6EA9" w:rsidP="007152C2">
      <w:pPr>
        <w:spacing w:before="120" w:after="120"/>
        <w:jc w:val="both"/>
        <w:rPr>
          <w:rFonts w:ascii="Calibri" w:hAnsi="Calibri" w:cs="Calibri"/>
          <w:b/>
          <w:bCs/>
        </w:rPr>
      </w:pPr>
    </w:p>
    <w:bookmarkEnd w:id="0"/>
    <w:p w14:paraId="015C567E" w14:textId="77777777" w:rsidR="00827803" w:rsidRPr="003352E4" w:rsidRDefault="00827803">
      <w:pPr>
        <w:jc w:val="both"/>
        <w:rPr>
          <w:sz w:val="16"/>
          <w:szCs w:val="16"/>
        </w:rPr>
      </w:pPr>
    </w:p>
    <w:sectPr w:rsidR="00827803" w:rsidRPr="003352E4" w:rsidSect="00CC39D1">
      <w:type w:val="continuous"/>
      <w:pgSz w:w="11906" w:h="16838" w:code="9"/>
      <w:pgMar w:top="2948" w:right="1440" w:bottom="2041" w:left="1440" w:header="1021"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4C7FB5" w14:textId="77777777" w:rsidR="00982DBF" w:rsidRDefault="00982DBF" w:rsidP="00EB28A8">
      <w:pPr>
        <w:spacing w:after="0" w:line="240" w:lineRule="auto"/>
      </w:pPr>
      <w:r>
        <w:separator/>
      </w:r>
    </w:p>
  </w:endnote>
  <w:endnote w:type="continuationSeparator" w:id="0">
    <w:p w14:paraId="5162E315" w14:textId="77777777" w:rsidR="00982DBF" w:rsidRDefault="00982DBF" w:rsidP="00EB28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Trajan">
    <w:altName w:val="Cambria"/>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6797605"/>
      <w:docPartObj>
        <w:docPartGallery w:val="Page Numbers (Bottom of Page)"/>
        <w:docPartUnique/>
      </w:docPartObj>
    </w:sdtPr>
    <w:sdtEndPr>
      <w:rPr>
        <w:color w:val="7F7F7F" w:themeColor="background1" w:themeShade="7F"/>
        <w:spacing w:val="60"/>
      </w:rPr>
    </w:sdtEndPr>
    <w:sdtContent>
      <w:p w14:paraId="51C8A34D" w14:textId="77777777" w:rsidR="00827803" w:rsidRDefault="00827803">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192D9FE9" w14:textId="77777777" w:rsidR="00827803" w:rsidRDefault="0082780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98412822"/>
      <w:docPartObj>
        <w:docPartGallery w:val="Page Numbers (Bottom of Page)"/>
        <w:docPartUnique/>
      </w:docPartObj>
    </w:sdtPr>
    <w:sdtEndPr>
      <w:rPr>
        <w:color w:val="7F7F7F" w:themeColor="background1" w:themeShade="7F"/>
        <w:spacing w:val="60"/>
      </w:rPr>
    </w:sdtEndPr>
    <w:sdtContent>
      <w:p w14:paraId="50F119D0" w14:textId="1E7453DC" w:rsidR="00113FD7" w:rsidRDefault="00113FD7">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6F466587" w14:textId="77777777" w:rsidR="00113FD7" w:rsidRDefault="00113FD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A44DD8" w14:textId="77777777" w:rsidR="00982DBF" w:rsidRDefault="00982DBF" w:rsidP="00EB28A8">
      <w:pPr>
        <w:spacing w:after="0" w:line="240" w:lineRule="auto"/>
      </w:pPr>
      <w:r>
        <w:separator/>
      </w:r>
    </w:p>
  </w:footnote>
  <w:footnote w:type="continuationSeparator" w:id="0">
    <w:p w14:paraId="0D599046" w14:textId="77777777" w:rsidR="00982DBF" w:rsidRDefault="00982DBF" w:rsidP="00EB28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BF4291" w14:textId="77777777" w:rsidR="00827803" w:rsidRDefault="00827803">
    <w:pPr>
      <w:pStyle w:val="Header"/>
    </w:pPr>
    <w:r>
      <w:rPr>
        <w:noProof/>
      </w:rPr>
      <w:drawing>
        <wp:inline distT="0" distB="0" distL="0" distR="0" wp14:anchorId="4D881DEC" wp14:editId="79F0D1A7">
          <wp:extent cx="1466512" cy="797903"/>
          <wp:effectExtent l="0" t="0" r="635" b="2540"/>
          <wp:docPr id="1155882799" name="Picture 3" descr="HNW Nexus – Empowering 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NW Nexus – Empowering al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92245" cy="811904"/>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09686F" w14:textId="7C9EF7EE" w:rsidR="002F0DCB" w:rsidRDefault="00F6465E">
    <w:pPr>
      <w:pStyle w:val="Header"/>
    </w:pPr>
    <w:r>
      <w:rPr>
        <w:noProof/>
      </w:rPr>
      <w:drawing>
        <wp:inline distT="0" distB="0" distL="0" distR="0" wp14:anchorId="0C0EE491" wp14:editId="1DFE4FE1">
          <wp:extent cx="1466512" cy="797903"/>
          <wp:effectExtent l="0" t="0" r="635" b="2540"/>
          <wp:docPr id="1561300269" name="Picture 3" descr="HNW Nexus – Empowering 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NW Nexus – Empowering al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92245" cy="811904"/>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828E0880"/>
    <w:lvl w:ilvl="0">
      <w:start w:val="1"/>
      <w:numFmt w:val="lowerLetter"/>
      <w:pStyle w:val="ListNumber2"/>
      <w:lvlText w:val="%1)"/>
      <w:lvlJc w:val="left"/>
      <w:pPr>
        <w:ind w:left="643" w:hanging="360"/>
      </w:pPr>
    </w:lvl>
  </w:abstractNum>
  <w:abstractNum w:abstractNumId="1" w15:restartNumberingAfterBreak="0">
    <w:nsid w:val="FFFFFF83"/>
    <w:multiLevelType w:val="singleLevel"/>
    <w:tmpl w:val="E5C40D38"/>
    <w:lvl w:ilvl="0">
      <w:start w:val="1"/>
      <w:numFmt w:val="bullet"/>
      <w:pStyle w:val="ListBullet2"/>
      <w:lvlText w:val="–"/>
      <w:lvlJc w:val="left"/>
      <w:pPr>
        <w:ind w:left="643" w:hanging="360"/>
      </w:pPr>
      <w:rPr>
        <w:rFonts w:ascii="Calibri" w:hAnsi="Calibri" w:hint="default"/>
      </w:rPr>
    </w:lvl>
  </w:abstractNum>
  <w:abstractNum w:abstractNumId="2" w15:restartNumberingAfterBreak="0">
    <w:nsid w:val="FFFFFF88"/>
    <w:multiLevelType w:val="singleLevel"/>
    <w:tmpl w:val="E46CB6F2"/>
    <w:lvl w:ilvl="0">
      <w:start w:val="1"/>
      <w:numFmt w:val="decimal"/>
      <w:pStyle w:val="ListNumber"/>
      <w:lvlText w:val="%1."/>
      <w:lvlJc w:val="left"/>
      <w:pPr>
        <w:ind w:left="360" w:hanging="360"/>
      </w:pPr>
      <w:rPr>
        <w:rFonts w:hint="default"/>
        <w:b/>
        <w:i w:val="0"/>
      </w:rPr>
    </w:lvl>
  </w:abstractNum>
  <w:abstractNum w:abstractNumId="3" w15:restartNumberingAfterBreak="0">
    <w:nsid w:val="FFFFFF89"/>
    <w:multiLevelType w:val="singleLevel"/>
    <w:tmpl w:val="CAFCA224"/>
    <w:lvl w:ilvl="0">
      <w:start w:val="1"/>
      <w:numFmt w:val="bullet"/>
      <w:pStyle w:val="ListBullet"/>
      <w:lvlText w:val=""/>
      <w:lvlJc w:val="left"/>
      <w:pPr>
        <w:tabs>
          <w:tab w:val="num" w:pos="360"/>
        </w:tabs>
        <w:ind w:left="360" w:hanging="360"/>
      </w:pPr>
      <w:rPr>
        <w:rFonts w:ascii="Symbol" w:hAnsi="Symbol" w:hint="default"/>
      </w:rPr>
    </w:lvl>
  </w:abstractNum>
  <w:abstractNum w:abstractNumId="4" w15:restartNumberingAfterBreak="0">
    <w:nsid w:val="08DF083B"/>
    <w:multiLevelType w:val="hybridMultilevel"/>
    <w:tmpl w:val="FFDAE31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A9F2A3D"/>
    <w:multiLevelType w:val="hybridMultilevel"/>
    <w:tmpl w:val="8F68F1A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278F4F47"/>
    <w:multiLevelType w:val="hybridMultilevel"/>
    <w:tmpl w:val="350EB9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B006297"/>
    <w:multiLevelType w:val="hybridMultilevel"/>
    <w:tmpl w:val="F8A0A784"/>
    <w:lvl w:ilvl="0" w:tplc="1820F324">
      <w:numFmt w:val="bullet"/>
      <w:lvlText w:val="•"/>
      <w:lvlJc w:val="left"/>
      <w:pPr>
        <w:ind w:left="360" w:hanging="360"/>
      </w:pPr>
      <w:rPr>
        <w:rFonts w:ascii="Calibri" w:eastAsiaTheme="minorEastAsia" w:hAnsi="Calibri" w:cs="Calibri" w:hint="default"/>
        <w:i w:val="0"/>
        <w:color w:val="414042" w:themeColor="text1"/>
        <w:sz w:val="18"/>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B517A17"/>
    <w:multiLevelType w:val="hybridMultilevel"/>
    <w:tmpl w:val="4E6039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E96608F"/>
    <w:multiLevelType w:val="hybridMultilevel"/>
    <w:tmpl w:val="125A71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7310B66"/>
    <w:multiLevelType w:val="multilevel"/>
    <w:tmpl w:val="FA40ED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53139DE"/>
    <w:multiLevelType w:val="hybridMultilevel"/>
    <w:tmpl w:val="841EFF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7122E26"/>
    <w:multiLevelType w:val="multilevel"/>
    <w:tmpl w:val="AE48833A"/>
    <w:lvl w:ilvl="0">
      <w:start w:val="1"/>
      <w:numFmt w:val="decimal"/>
      <w:lvlText w:val="%1"/>
      <w:lvlJc w:val="left"/>
      <w:pPr>
        <w:ind w:left="432" w:hanging="432"/>
      </w:pPr>
      <w:rPr>
        <w:color w:val="auto"/>
        <w:sz w:val="24"/>
      </w:rPr>
    </w:lvl>
    <w:lvl w:ilvl="1">
      <w:start w:val="1"/>
      <w:numFmt w:val="decimal"/>
      <w:pStyle w:val="Heading5"/>
      <w:lvlText w:val="%1.%2"/>
      <w:lvlJc w:val="left"/>
      <w:pPr>
        <w:ind w:left="576" w:hanging="576"/>
      </w:pPr>
    </w:lvl>
    <w:lvl w:ilvl="2">
      <w:start w:val="1"/>
      <w:numFmt w:val="decimal"/>
      <w:pStyle w:val="Heading6"/>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3" w15:restartNumberingAfterBreak="0">
    <w:nsid w:val="47500434"/>
    <w:multiLevelType w:val="hybridMultilevel"/>
    <w:tmpl w:val="F814A7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2E26C13"/>
    <w:multiLevelType w:val="hybridMultilevel"/>
    <w:tmpl w:val="B13A6E36"/>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5" w15:restartNumberingAfterBreak="0">
    <w:nsid w:val="56B51B52"/>
    <w:multiLevelType w:val="multilevel"/>
    <w:tmpl w:val="C2AA96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6B040E6"/>
    <w:multiLevelType w:val="hybridMultilevel"/>
    <w:tmpl w:val="59CC49E4"/>
    <w:lvl w:ilvl="0" w:tplc="1820F324">
      <w:numFmt w:val="bullet"/>
      <w:lvlText w:val="•"/>
      <w:lvlJc w:val="left"/>
      <w:pPr>
        <w:ind w:left="720" w:hanging="360"/>
      </w:pPr>
      <w:rPr>
        <w:rFonts w:ascii="Calibri" w:eastAsiaTheme="minorEastAsia" w:hAnsi="Calibri" w:cs="Calibri" w:hint="default"/>
        <w:i w:val="0"/>
        <w:color w:val="414042" w:themeColor="text1"/>
        <w:sz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88160214">
    <w:abstractNumId w:val="12"/>
  </w:num>
  <w:num w:numId="2" w16cid:durableId="1643658398">
    <w:abstractNumId w:val="3"/>
  </w:num>
  <w:num w:numId="3" w16cid:durableId="84688565">
    <w:abstractNumId w:val="1"/>
  </w:num>
  <w:num w:numId="4" w16cid:durableId="708146902">
    <w:abstractNumId w:val="2"/>
  </w:num>
  <w:num w:numId="5" w16cid:durableId="1993243837">
    <w:abstractNumId w:val="0"/>
  </w:num>
  <w:num w:numId="6" w16cid:durableId="430129513">
    <w:abstractNumId w:val="5"/>
  </w:num>
  <w:num w:numId="7" w16cid:durableId="638262864">
    <w:abstractNumId w:val="13"/>
  </w:num>
  <w:num w:numId="8" w16cid:durableId="1542089249">
    <w:abstractNumId w:val="14"/>
  </w:num>
  <w:num w:numId="9" w16cid:durableId="562182118">
    <w:abstractNumId w:val="9"/>
  </w:num>
  <w:num w:numId="10" w16cid:durableId="1842425709">
    <w:abstractNumId w:val="6"/>
  </w:num>
  <w:num w:numId="11" w16cid:durableId="1240560744">
    <w:abstractNumId w:val="4"/>
  </w:num>
  <w:num w:numId="12" w16cid:durableId="1191722889">
    <w:abstractNumId w:val="8"/>
  </w:num>
  <w:num w:numId="13" w16cid:durableId="1710059680">
    <w:abstractNumId w:val="16"/>
  </w:num>
  <w:num w:numId="14" w16cid:durableId="546839574">
    <w:abstractNumId w:val="7"/>
  </w:num>
  <w:num w:numId="15" w16cid:durableId="1492258336">
    <w:abstractNumId w:val="10"/>
  </w:num>
  <w:num w:numId="16" w16cid:durableId="1391618078">
    <w:abstractNumId w:val="15"/>
  </w:num>
  <w:num w:numId="17" w16cid:durableId="495656986">
    <w:abstractNumId w:val="1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defaultTableStyle w:val="HNWTable01"/>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MDUzMzcxMTQ2tbA0NTRR0lEKTi0uzszPAymwrAUA2dzA0ywAAAA="/>
  </w:docVars>
  <w:rsids>
    <w:rsidRoot w:val="00481A71"/>
    <w:rsid w:val="00000268"/>
    <w:rsid w:val="000006BC"/>
    <w:rsid w:val="00001072"/>
    <w:rsid w:val="00001213"/>
    <w:rsid w:val="000017A1"/>
    <w:rsid w:val="00001F8C"/>
    <w:rsid w:val="00003266"/>
    <w:rsid w:val="000035CC"/>
    <w:rsid w:val="00004613"/>
    <w:rsid w:val="00004F45"/>
    <w:rsid w:val="00005474"/>
    <w:rsid w:val="00006CCB"/>
    <w:rsid w:val="0000721F"/>
    <w:rsid w:val="000072B0"/>
    <w:rsid w:val="000073D1"/>
    <w:rsid w:val="00010B1D"/>
    <w:rsid w:val="00011244"/>
    <w:rsid w:val="00011328"/>
    <w:rsid w:val="00011A16"/>
    <w:rsid w:val="00012004"/>
    <w:rsid w:val="00012007"/>
    <w:rsid w:val="00012BF9"/>
    <w:rsid w:val="0001508D"/>
    <w:rsid w:val="0001535B"/>
    <w:rsid w:val="00015597"/>
    <w:rsid w:val="00016329"/>
    <w:rsid w:val="000163D4"/>
    <w:rsid w:val="00016E85"/>
    <w:rsid w:val="0001721E"/>
    <w:rsid w:val="000176D2"/>
    <w:rsid w:val="00017812"/>
    <w:rsid w:val="00017B34"/>
    <w:rsid w:val="00017E15"/>
    <w:rsid w:val="00017E69"/>
    <w:rsid w:val="0002084E"/>
    <w:rsid w:val="000218F1"/>
    <w:rsid w:val="0002201B"/>
    <w:rsid w:val="0002241D"/>
    <w:rsid w:val="00022971"/>
    <w:rsid w:val="00023EB5"/>
    <w:rsid w:val="00024249"/>
    <w:rsid w:val="0002488F"/>
    <w:rsid w:val="00025089"/>
    <w:rsid w:val="000256B8"/>
    <w:rsid w:val="0002765E"/>
    <w:rsid w:val="0002791C"/>
    <w:rsid w:val="000300E5"/>
    <w:rsid w:val="00030405"/>
    <w:rsid w:val="00030F8D"/>
    <w:rsid w:val="000310AB"/>
    <w:rsid w:val="0003150F"/>
    <w:rsid w:val="00033EA8"/>
    <w:rsid w:val="00034014"/>
    <w:rsid w:val="000341D2"/>
    <w:rsid w:val="000357BE"/>
    <w:rsid w:val="00036039"/>
    <w:rsid w:val="00036D85"/>
    <w:rsid w:val="00036FDA"/>
    <w:rsid w:val="00037046"/>
    <w:rsid w:val="000375F8"/>
    <w:rsid w:val="00037BFE"/>
    <w:rsid w:val="000400CD"/>
    <w:rsid w:val="00040E36"/>
    <w:rsid w:val="0004117C"/>
    <w:rsid w:val="00041762"/>
    <w:rsid w:val="00042755"/>
    <w:rsid w:val="0004442A"/>
    <w:rsid w:val="00045650"/>
    <w:rsid w:val="000458E9"/>
    <w:rsid w:val="00046301"/>
    <w:rsid w:val="00046589"/>
    <w:rsid w:val="00046840"/>
    <w:rsid w:val="00046899"/>
    <w:rsid w:val="00046901"/>
    <w:rsid w:val="00050628"/>
    <w:rsid w:val="0005073D"/>
    <w:rsid w:val="00050A18"/>
    <w:rsid w:val="00051004"/>
    <w:rsid w:val="00051397"/>
    <w:rsid w:val="00051451"/>
    <w:rsid w:val="000530FF"/>
    <w:rsid w:val="00053887"/>
    <w:rsid w:val="00054BDB"/>
    <w:rsid w:val="000558CB"/>
    <w:rsid w:val="00055D2C"/>
    <w:rsid w:val="00055F78"/>
    <w:rsid w:val="000566FA"/>
    <w:rsid w:val="0005674F"/>
    <w:rsid w:val="00056D53"/>
    <w:rsid w:val="0005797F"/>
    <w:rsid w:val="000606FB"/>
    <w:rsid w:val="00060AB6"/>
    <w:rsid w:val="00060CE2"/>
    <w:rsid w:val="00061657"/>
    <w:rsid w:val="00062337"/>
    <w:rsid w:val="00062BED"/>
    <w:rsid w:val="00063F3C"/>
    <w:rsid w:val="000653A6"/>
    <w:rsid w:val="000654D6"/>
    <w:rsid w:val="000656B2"/>
    <w:rsid w:val="00066C19"/>
    <w:rsid w:val="00066E8A"/>
    <w:rsid w:val="00067753"/>
    <w:rsid w:val="000678BF"/>
    <w:rsid w:val="000678F3"/>
    <w:rsid w:val="00070E5E"/>
    <w:rsid w:val="00071486"/>
    <w:rsid w:val="00072B77"/>
    <w:rsid w:val="000732D1"/>
    <w:rsid w:val="000732F1"/>
    <w:rsid w:val="00074692"/>
    <w:rsid w:val="000749F7"/>
    <w:rsid w:val="00074A1A"/>
    <w:rsid w:val="000751E0"/>
    <w:rsid w:val="00075A04"/>
    <w:rsid w:val="00076007"/>
    <w:rsid w:val="000760AB"/>
    <w:rsid w:val="000762D7"/>
    <w:rsid w:val="000764FC"/>
    <w:rsid w:val="00076FD3"/>
    <w:rsid w:val="000774B5"/>
    <w:rsid w:val="00077B36"/>
    <w:rsid w:val="00077BE9"/>
    <w:rsid w:val="00080677"/>
    <w:rsid w:val="00080EAF"/>
    <w:rsid w:val="00082606"/>
    <w:rsid w:val="000829B5"/>
    <w:rsid w:val="00082AC2"/>
    <w:rsid w:val="00083188"/>
    <w:rsid w:val="000832DC"/>
    <w:rsid w:val="00083932"/>
    <w:rsid w:val="000839D7"/>
    <w:rsid w:val="00083A84"/>
    <w:rsid w:val="00084298"/>
    <w:rsid w:val="00084388"/>
    <w:rsid w:val="000848E7"/>
    <w:rsid w:val="00084D8F"/>
    <w:rsid w:val="00084E22"/>
    <w:rsid w:val="0008591E"/>
    <w:rsid w:val="0008698B"/>
    <w:rsid w:val="0008740E"/>
    <w:rsid w:val="00090149"/>
    <w:rsid w:val="00090298"/>
    <w:rsid w:val="0009096E"/>
    <w:rsid w:val="00090E25"/>
    <w:rsid w:val="00091262"/>
    <w:rsid w:val="00092611"/>
    <w:rsid w:val="00092751"/>
    <w:rsid w:val="00094875"/>
    <w:rsid w:val="00095523"/>
    <w:rsid w:val="00095963"/>
    <w:rsid w:val="00095BDA"/>
    <w:rsid w:val="00095CB8"/>
    <w:rsid w:val="0009606F"/>
    <w:rsid w:val="00096323"/>
    <w:rsid w:val="00096979"/>
    <w:rsid w:val="00097243"/>
    <w:rsid w:val="000A032D"/>
    <w:rsid w:val="000A08BF"/>
    <w:rsid w:val="000A1A15"/>
    <w:rsid w:val="000A1C7B"/>
    <w:rsid w:val="000A1FDF"/>
    <w:rsid w:val="000A26DE"/>
    <w:rsid w:val="000A36E7"/>
    <w:rsid w:val="000A3B2A"/>
    <w:rsid w:val="000A5F08"/>
    <w:rsid w:val="000A6FC0"/>
    <w:rsid w:val="000A7096"/>
    <w:rsid w:val="000A7345"/>
    <w:rsid w:val="000A7689"/>
    <w:rsid w:val="000A7727"/>
    <w:rsid w:val="000A7AA8"/>
    <w:rsid w:val="000A7ACA"/>
    <w:rsid w:val="000B03C8"/>
    <w:rsid w:val="000B053B"/>
    <w:rsid w:val="000B0749"/>
    <w:rsid w:val="000B0DED"/>
    <w:rsid w:val="000B12C5"/>
    <w:rsid w:val="000B1350"/>
    <w:rsid w:val="000B196F"/>
    <w:rsid w:val="000B1CC6"/>
    <w:rsid w:val="000B2129"/>
    <w:rsid w:val="000B2E0E"/>
    <w:rsid w:val="000B3E00"/>
    <w:rsid w:val="000B4170"/>
    <w:rsid w:val="000B4202"/>
    <w:rsid w:val="000B4548"/>
    <w:rsid w:val="000B4975"/>
    <w:rsid w:val="000B5326"/>
    <w:rsid w:val="000B61C1"/>
    <w:rsid w:val="000B6FDD"/>
    <w:rsid w:val="000B7DF9"/>
    <w:rsid w:val="000B7FFA"/>
    <w:rsid w:val="000C04DA"/>
    <w:rsid w:val="000C0E73"/>
    <w:rsid w:val="000C0FBA"/>
    <w:rsid w:val="000C13E2"/>
    <w:rsid w:val="000C3188"/>
    <w:rsid w:val="000C3A04"/>
    <w:rsid w:val="000C3E55"/>
    <w:rsid w:val="000C47EA"/>
    <w:rsid w:val="000C548B"/>
    <w:rsid w:val="000C58C1"/>
    <w:rsid w:val="000C5E95"/>
    <w:rsid w:val="000C6F24"/>
    <w:rsid w:val="000C70D2"/>
    <w:rsid w:val="000C7672"/>
    <w:rsid w:val="000C7D22"/>
    <w:rsid w:val="000D016A"/>
    <w:rsid w:val="000D24CD"/>
    <w:rsid w:val="000D273A"/>
    <w:rsid w:val="000D2914"/>
    <w:rsid w:val="000D2BE8"/>
    <w:rsid w:val="000D2EF0"/>
    <w:rsid w:val="000D3366"/>
    <w:rsid w:val="000D44BE"/>
    <w:rsid w:val="000D4ED4"/>
    <w:rsid w:val="000D513F"/>
    <w:rsid w:val="000D5813"/>
    <w:rsid w:val="000D5AC5"/>
    <w:rsid w:val="000D5E2E"/>
    <w:rsid w:val="000D6EE9"/>
    <w:rsid w:val="000E06E1"/>
    <w:rsid w:val="000E2092"/>
    <w:rsid w:val="000E2E4B"/>
    <w:rsid w:val="000E3302"/>
    <w:rsid w:val="000E3566"/>
    <w:rsid w:val="000E3D09"/>
    <w:rsid w:val="000E45E4"/>
    <w:rsid w:val="000E52C4"/>
    <w:rsid w:val="000E5B37"/>
    <w:rsid w:val="000E6C72"/>
    <w:rsid w:val="000E7704"/>
    <w:rsid w:val="000F133D"/>
    <w:rsid w:val="000F150B"/>
    <w:rsid w:val="000F2053"/>
    <w:rsid w:val="000F2A21"/>
    <w:rsid w:val="000F2A98"/>
    <w:rsid w:val="000F52AB"/>
    <w:rsid w:val="000F5F52"/>
    <w:rsid w:val="000F60F5"/>
    <w:rsid w:val="000F626C"/>
    <w:rsid w:val="000F6842"/>
    <w:rsid w:val="000F725D"/>
    <w:rsid w:val="000F7387"/>
    <w:rsid w:val="000F75CE"/>
    <w:rsid w:val="000F7783"/>
    <w:rsid w:val="000F7BDA"/>
    <w:rsid w:val="0010043C"/>
    <w:rsid w:val="00101936"/>
    <w:rsid w:val="00102BB3"/>
    <w:rsid w:val="00102BB6"/>
    <w:rsid w:val="00102E4C"/>
    <w:rsid w:val="0010573F"/>
    <w:rsid w:val="00105BCC"/>
    <w:rsid w:val="00105FA6"/>
    <w:rsid w:val="001066CC"/>
    <w:rsid w:val="00107049"/>
    <w:rsid w:val="0010706A"/>
    <w:rsid w:val="00107166"/>
    <w:rsid w:val="001073CA"/>
    <w:rsid w:val="00107972"/>
    <w:rsid w:val="00107D5C"/>
    <w:rsid w:val="0011089D"/>
    <w:rsid w:val="00110DCC"/>
    <w:rsid w:val="00110DCD"/>
    <w:rsid w:val="001112B5"/>
    <w:rsid w:val="00111526"/>
    <w:rsid w:val="00111862"/>
    <w:rsid w:val="00111AF6"/>
    <w:rsid w:val="00111F8D"/>
    <w:rsid w:val="001129D6"/>
    <w:rsid w:val="00113422"/>
    <w:rsid w:val="00113FD7"/>
    <w:rsid w:val="00114105"/>
    <w:rsid w:val="0011425F"/>
    <w:rsid w:val="001147D8"/>
    <w:rsid w:val="00114A2E"/>
    <w:rsid w:val="00114FC3"/>
    <w:rsid w:val="00115049"/>
    <w:rsid w:val="00115DDA"/>
    <w:rsid w:val="00115EEE"/>
    <w:rsid w:val="00115FEC"/>
    <w:rsid w:val="001163C3"/>
    <w:rsid w:val="0011715A"/>
    <w:rsid w:val="00117C94"/>
    <w:rsid w:val="00120449"/>
    <w:rsid w:val="001207D3"/>
    <w:rsid w:val="001218BF"/>
    <w:rsid w:val="00122C58"/>
    <w:rsid w:val="00122E58"/>
    <w:rsid w:val="0012379B"/>
    <w:rsid w:val="001238CB"/>
    <w:rsid w:val="001239FB"/>
    <w:rsid w:val="00123BD7"/>
    <w:rsid w:val="00123F12"/>
    <w:rsid w:val="001243C9"/>
    <w:rsid w:val="001244F4"/>
    <w:rsid w:val="00124E8E"/>
    <w:rsid w:val="001257FA"/>
    <w:rsid w:val="00126872"/>
    <w:rsid w:val="00126DB8"/>
    <w:rsid w:val="00126E28"/>
    <w:rsid w:val="001308C8"/>
    <w:rsid w:val="00131740"/>
    <w:rsid w:val="00131EB9"/>
    <w:rsid w:val="001328DD"/>
    <w:rsid w:val="00132D61"/>
    <w:rsid w:val="0013543E"/>
    <w:rsid w:val="001357C3"/>
    <w:rsid w:val="00136204"/>
    <w:rsid w:val="00136F68"/>
    <w:rsid w:val="00137324"/>
    <w:rsid w:val="0014024A"/>
    <w:rsid w:val="001405F3"/>
    <w:rsid w:val="00140858"/>
    <w:rsid w:val="001415A2"/>
    <w:rsid w:val="00141B5E"/>
    <w:rsid w:val="00142BD6"/>
    <w:rsid w:val="00143062"/>
    <w:rsid w:val="001439EE"/>
    <w:rsid w:val="00143C05"/>
    <w:rsid w:val="001440B7"/>
    <w:rsid w:val="0014431E"/>
    <w:rsid w:val="00144655"/>
    <w:rsid w:val="001451A8"/>
    <w:rsid w:val="00145508"/>
    <w:rsid w:val="00147535"/>
    <w:rsid w:val="00147A28"/>
    <w:rsid w:val="00150984"/>
    <w:rsid w:val="00151102"/>
    <w:rsid w:val="0015130E"/>
    <w:rsid w:val="00153932"/>
    <w:rsid w:val="001542BF"/>
    <w:rsid w:val="001545AE"/>
    <w:rsid w:val="00154F9E"/>
    <w:rsid w:val="00155237"/>
    <w:rsid w:val="001558AE"/>
    <w:rsid w:val="00157329"/>
    <w:rsid w:val="00157AF8"/>
    <w:rsid w:val="001616BB"/>
    <w:rsid w:val="0016191A"/>
    <w:rsid w:val="00162A46"/>
    <w:rsid w:val="001632D6"/>
    <w:rsid w:val="00163B7D"/>
    <w:rsid w:val="001642D0"/>
    <w:rsid w:val="001643E3"/>
    <w:rsid w:val="00164672"/>
    <w:rsid w:val="001648D2"/>
    <w:rsid w:val="001652D3"/>
    <w:rsid w:val="0016721D"/>
    <w:rsid w:val="001708EB"/>
    <w:rsid w:val="00170FC0"/>
    <w:rsid w:val="00171550"/>
    <w:rsid w:val="00172116"/>
    <w:rsid w:val="00172387"/>
    <w:rsid w:val="001727F2"/>
    <w:rsid w:val="00173ECE"/>
    <w:rsid w:val="00173FB8"/>
    <w:rsid w:val="001740F6"/>
    <w:rsid w:val="00175A6F"/>
    <w:rsid w:val="001761C6"/>
    <w:rsid w:val="00176974"/>
    <w:rsid w:val="001777BF"/>
    <w:rsid w:val="00180236"/>
    <w:rsid w:val="001805DE"/>
    <w:rsid w:val="00181027"/>
    <w:rsid w:val="00182717"/>
    <w:rsid w:val="001827DF"/>
    <w:rsid w:val="00183082"/>
    <w:rsid w:val="00183405"/>
    <w:rsid w:val="00183EDD"/>
    <w:rsid w:val="001846E3"/>
    <w:rsid w:val="00184AC2"/>
    <w:rsid w:val="00185A79"/>
    <w:rsid w:val="0018703E"/>
    <w:rsid w:val="00187537"/>
    <w:rsid w:val="00187989"/>
    <w:rsid w:val="001879ED"/>
    <w:rsid w:val="00187B79"/>
    <w:rsid w:val="001907EB"/>
    <w:rsid w:val="00190B5B"/>
    <w:rsid w:val="00190C22"/>
    <w:rsid w:val="001918FE"/>
    <w:rsid w:val="00192082"/>
    <w:rsid w:val="001921CE"/>
    <w:rsid w:val="001928CD"/>
    <w:rsid w:val="001931DC"/>
    <w:rsid w:val="00193344"/>
    <w:rsid w:val="001934F4"/>
    <w:rsid w:val="00193B6F"/>
    <w:rsid w:val="00196E07"/>
    <w:rsid w:val="001979FC"/>
    <w:rsid w:val="00197B9B"/>
    <w:rsid w:val="00197D97"/>
    <w:rsid w:val="001A141A"/>
    <w:rsid w:val="001A1F51"/>
    <w:rsid w:val="001A23BB"/>
    <w:rsid w:val="001A2453"/>
    <w:rsid w:val="001A2DA1"/>
    <w:rsid w:val="001A30BA"/>
    <w:rsid w:val="001A3D53"/>
    <w:rsid w:val="001A4083"/>
    <w:rsid w:val="001A4342"/>
    <w:rsid w:val="001A53DE"/>
    <w:rsid w:val="001A5805"/>
    <w:rsid w:val="001A6CF1"/>
    <w:rsid w:val="001A7A42"/>
    <w:rsid w:val="001B06AA"/>
    <w:rsid w:val="001B08D3"/>
    <w:rsid w:val="001B0D6B"/>
    <w:rsid w:val="001B12A9"/>
    <w:rsid w:val="001B1664"/>
    <w:rsid w:val="001B1F88"/>
    <w:rsid w:val="001B2167"/>
    <w:rsid w:val="001B3379"/>
    <w:rsid w:val="001B3923"/>
    <w:rsid w:val="001B3E67"/>
    <w:rsid w:val="001B4B65"/>
    <w:rsid w:val="001B59BE"/>
    <w:rsid w:val="001B6540"/>
    <w:rsid w:val="001B6CB4"/>
    <w:rsid w:val="001B6DA8"/>
    <w:rsid w:val="001C03FC"/>
    <w:rsid w:val="001C3AA0"/>
    <w:rsid w:val="001C431B"/>
    <w:rsid w:val="001C4340"/>
    <w:rsid w:val="001C4744"/>
    <w:rsid w:val="001C4983"/>
    <w:rsid w:val="001C4A6F"/>
    <w:rsid w:val="001C51F1"/>
    <w:rsid w:val="001C5422"/>
    <w:rsid w:val="001C5785"/>
    <w:rsid w:val="001C5C1E"/>
    <w:rsid w:val="001C6A70"/>
    <w:rsid w:val="001C71C7"/>
    <w:rsid w:val="001C7E65"/>
    <w:rsid w:val="001D0CB0"/>
    <w:rsid w:val="001D13FF"/>
    <w:rsid w:val="001D1BE0"/>
    <w:rsid w:val="001D27DC"/>
    <w:rsid w:val="001D4157"/>
    <w:rsid w:val="001D4409"/>
    <w:rsid w:val="001D48CC"/>
    <w:rsid w:val="001D4978"/>
    <w:rsid w:val="001D4CD5"/>
    <w:rsid w:val="001D5F2A"/>
    <w:rsid w:val="001D644E"/>
    <w:rsid w:val="001D6939"/>
    <w:rsid w:val="001E009D"/>
    <w:rsid w:val="001E0455"/>
    <w:rsid w:val="001E08D7"/>
    <w:rsid w:val="001E16AE"/>
    <w:rsid w:val="001E2B1A"/>
    <w:rsid w:val="001E2B4C"/>
    <w:rsid w:val="001E2CD5"/>
    <w:rsid w:val="001E3557"/>
    <w:rsid w:val="001E3C77"/>
    <w:rsid w:val="001E5116"/>
    <w:rsid w:val="001E6018"/>
    <w:rsid w:val="001E6034"/>
    <w:rsid w:val="001E64FB"/>
    <w:rsid w:val="001E673C"/>
    <w:rsid w:val="001E68EF"/>
    <w:rsid w:val="001E7507"/>
    <w:rsid w:val="001E7BB2"/>
    <w:rsid w:val="001F13BF"/>
    <w:rsid w:val="001F1609"/>
    <w:rsid w:val="001F1BB2"/>
    <w:rsid w:val="001F3311"/>
    <w:rsid w:val="001F3631"/>
    <w:rsid w:val="001F41C6"/>
    <w:rsid w:val="001F41D2"/>
    <w:rsid w:val="001F42E5"/>
    <w:rsid w:val="001F4728"/>
    <w:rsid w:val="001F4978"/>
    <w:rsid w:val="001F5AAD"/>
    <w:rsid w:val="001F621B"/>
    <w:rsid w:val="001F699A"/>
    <w:rsid w:val="001F6BF7"/>
    <w:rsid w:val="001F7C3F"/>
    <w:rsid w:val="00200F95"/>
    <w:rsid w:val="00201A4D"/>
    <w:rsid w:val="00202136"/>
    <w:rsid w:val="002032E2"/>
    <w:rsid w:val="0020369D"/>
    <w:rsid w:val="00205A1C"/>
    <w:rsid w:val="002061AD"/>
    <w:rsid w:val="00206682"/>
    <w:rsid w:val="00207D56"/>
    <w:rsid w:val="002105C5"/>
    <w:rsid w:val="0021071B"/>
    <w:rsid w:val="00210AED"/>
    <w:rsid w:val="00211170"/>
    <w:rsid w:val="00211307"/>
    <w:rsid w:val="0021189B"/>
    <w:rsid w:val="00212403"/>
    <w:rsid w:val="00212697"/>
    <w:rsid w:val="00212D0A"/>
    <w:rsid w:val="00212DCC"/>
    <w:rsid w:val="00212FE4"/>
    <w:rsid w:val="002158C5"/>
    <w:rsid w:val="00216061"/>
    <w:rsid w:val="00216740"/>
    <w:rsid w:val="00216D19"/>
    <w:rsid w:val="00217339"/>
    <w:rsid w:val="00220A49"/>
    <w:rsid w:val="00220C85"/>
    <w:rsid w:val="002214C5"/>
    <w:rsid w:val="0022166E"/>
    <w:rsid w:val="002218B5"/>
    <w:rsid w:val="00223BED"/>
    <w:rsid w:val="00224632"/>
    <w:rsid w:val="00225A8C"/>
    <w:rsid w:val="00225DE3"/>
    <w:rsid w:val="0022688A"/>
    <w:rsid w:val="00226C85"/>
    <w:rsid w:val="0022755C"/>
    <w:rsid w:val="00227A9E"/>
    <w:rsid w:val="00227C1C"/>
    <w:rsid w:val="00230265"/>
    <w:rsid w:val="00230A8F"/>
    <w:rsid w:val="0023164B"/>
    <w:rsid w:val="00231718"/>
    <w:rsid w:val="002317D8"/>
    <w:rsid w:val="00232598"/>
    <w:rsid w:val="002339AC"/>
    <w:rsid w:val="00233D00"/>
    <w:rsid w:val="002344AE"/>
    <w:rsid w:val="00234D9D"/>
    <w:rsid w:val="002350CD"/>
    <w:rsid w:val="00235353"/>
    <w:rsid w:val="0023582D"/>
    <w:rsid w:val="00235AFB"/>
    <w:rsid w:val="00236F73"/>
    <w:rsid w:val="002376A3"/>
    <w:rsid w:val="002378C4"/>
    <w:rsid w:val="00237BF2"/>
    <w:rsid w:val="00240594"/>
    <w:rsid w:val="00240AB5"/>
    <w:rsid w:val="0024149E"/>
    <w:rsid w:val="002421C2"/>
    <w:rsid w:val="0024288B"/>
    <w:rsid w:val="00242925"/>
    <w:rsid w:val="00242BF1"/>
    <w:rsid w:val="002431FA"/>
    <w:rsid w:val="00243B2F"/>
    <w:rsid w:val="00243EC3"/>
    <w:rsid w:val="0024668D"/>
    <w:rsid w:val="00246A5B"/>
    <w:rsid w:val="00247C5F"/>
    <w:rsid w:val="00247E87"/>
    <w:rsid w:val="0025086B"/>
    <w:rsid w:val="00252B3E"/>
    <w:rsid w:val="002537E1"/>
    <w:rsid w:val="00253E77"/>
    <w:rsid w:val="00254666"/>
    <w:rsid w:val="00254B16"/>
    <w:rsid w:val="0025538C"/>
    <w:rsid w:val="0025660A"/>
    <w:rsid w:val="00256EB9"/>
    <w:rsid w:val="002570D5"/>
    <w:rsid w:val="0025751D"/>
    <w:rsid w:val="00257621"/>
    <w:rsid w:val="00260221"/>
    <w:rsid w:val="00260264"/>
    <w:rsid w:val="002606E7"/>
    <w:rsid w:val="00260D16"/>
    <w:rsid w:val="002616C9"/>
    <w:rsid w:val="002627B9"/>
    <w:rsid w:val="00263917"/>
    <w:rsid w:val="00263B4B"/>
    <w:rsid w:val="00263E8C"/>
    <w:rsid w:val="002645FE"/>
    <w:rsid w:val="00264C67"/>
    <w:rsid w:val="00264F56"/>
    <w:rsid w:val="002656F2"/>
    <w:rsid w:val="002668D8"/>
    <w:rsid w:val="002671FD"/>
    <w:rsid w:val="00267B44"/>
    <w:rsid w:val="00267CCC"/>
    <w:rsid w:val="002702CD"/>
    <w:rsid w:val="002702F6"/>
    <w:rsid w:val="00270718"/>
    <w:rsid w:val="002709A4"/>
    <w:rsid w:val="00270AD7"/>
    <w:rsid w:val="00270E36"/>
    <w:rsid w:val="002710BC"/>
    <w:rsid w:val="00271D13"/>
    <w:rsid w:val="002720B5"/>
    <w:rsid w:val="00272A52"/>
    <w:rsid w:val="00275C7E"/>
    <w:rsid w:val="00275E99"/>
    <w:rsid w:val="002761ED"/>
    <w:rsid w:val="002767D1"/>
    <w:rsid w:val="002767DA"/>
    <w:rsid w:val="002770F6"/>
    <w:rsid w:val="002772F8"/>
    <w:rsid w:val="00277704"/>
    <w:rsid w:val="002777E9"/>
    <w:rsid w:val="0027780B"/>
    <w:rsid w:val="00277A42"/>
    <w:rsid w:val="002804E9"/>
    <w:rsid w:val="002809E4"/>
    <w:rsid w:val="00280EC0"/>
    <w:rsid w:val="00281A35"/>
    <w:rsid w:val="002828E4"/>
    <w:rsid w:val="00282C5F"/>
    <w:rsid w:val="00283E30"/>
    <w:rsid w:val="00283F6D"/>
    <w:rsid w:val="00286876"/>
    <w:rsid w:val="00286877"/>
    <w:rsid w:val="00286B94"/>
    <w:rsid w:val="0028772F"/>
    <w:rsid w:val="002903A6"/>
    <w:rsid w:val="002906FB"/>
    <w:rsid w:val="0029095D"/>
    <w:rsid w:val="00290B47"/>
    <w:rsid w:val="00291067"/>
    <w:rsid w:val="0029191E"/>
    <w:rsid w:val="00292333"/>
    <w:rsid w:val="0029258C"/>
    <w:rsid w:val="00292B38"/>
    <w:rsid w:val="00293EE9"/>
    <w:rsid w:val="0029438A"/>
    <w:rsid w:val="00294D11"/>
    <w:rsid w:val="00295134"/>
    <w:rsid w:val="00295529"/>
    <w:rsid w:val="00295617"/>
    <w:rsid w:val="00296269"/>
    <w:rsid w:val="00296293"/>
    <w:rsid w:val="00296984"/>
    <w:rsid w:val="00296BDA"/>
    <w:rsid w:val="00296C83"/>
    <w:rsid w:val="002977F8"/>
    <w:rsid w:val="002A02F8"/>
    <w:rsid w:val="002A10BE"/>
    <w:rsid w:val="002A13EC"/>
    <w:rsid w:val="002A1BF6"/>
    <w:rsid w:val="002A21DA"/>
    <w:rsid w:val="002A26A5"/>
    <w:rsid w:val="002A3937"/>
    <w:rsid w:val="002A4F99"/>
    <w:rsid w:val="002A56C3"/>
    <w:rsid w:val="002A5F71"/>
    <w:rsid w:val="002A71FA"/>
    <w:rsid w:val="002B052C"/>
    <w:rsid w:val="002B2B13"/>
    <w:rsid w:val="002B2ED2"/>
    <w:rsid w:val="002B2F9B"/>
    <w:rsid w:val="002B309B"/>
    <w:rsid w:val="002B3BBC"/>
    <w:rsid w:val="002B45E9"/>
    <w:rsid w:val="002B4AC0"/>
    <w:rsid w:val="002B4F5F"/>
    <w:rsid w:val="002B51E0"/>
    <w:rsid w:val="002B56F0"/>
    <w:rsid w:val="002B61FC"/>
    <w:rsid w:val="002B64F5"/>
    <w:rsid w:val="002B74FE"/>
    <w:rsid w:val="002B7C51"/>
    <w:rsid w:val="002B7F2F"/>
    <w:rsid w:val="002C098F"/>
    <w:rsid w:val="002C183C"/>
    <w:rsid w:val="002C1AD6"/>
    <w:rsid w:val="002C1D4B"/>
    <w:rsid w:val="002C2046"/>
    <w:rsid w:val="002C2064"/>
    <w:rsid w:val="002C3A77"/>
    <w:rsid w:val="002C4839"/>
    <w:rsid w:val="002C4C84"/>
    <w:rsid w:val="002C6C3E"/>
    <w:rsid w:val="002D0C17"/>
    <w:rsid w:val="002D1C33"/>
    <w:rsid w:val="002D21A1"/>
    <w:rsid w:val="002D285D"/>
    <w:rsid w:val="002D47EA"/>
    <w:rsid w:val="002D4928"/>
    <w:rsid w:val="002D4F09"/>
    <w:rsid w:val="002D4FBF"/>
    <w:rsid w:val="002D53B9"/>
    <w:rsid w:val="002D5B6B"/>
    <w:rsid w:val="002D5D13"/>
    <w:rsid w:val="002D6DF9"/>
    <w:rsid w:val="002D7930"/>
    <w:rsid w:val="002D7C21"/>
    <w:rsid w:val="002D7EED"/>
    <w:rsid w:val="002E1A3F"/>
    <w:rsid w:val="002E1D59"/>
    <w:rsid w:val="002E2AE9"/>
    <w:rsid w:val="002E3192"/>
    <w:rsid w:val="002E391C"/>
    <w:rsid w:val="002E4EA7"/>
    <w:rsid w:val="002E535D"/>
    <w:rsid w:val="002E6515"/>
    <w:rsid w:val="002E6845"/>
    <w:rsid w:val="002E7897"/>
    <w:rsid w:val="002E79D5"/>
    <w:rsid w:val="002F02BA"/>
    <w:rsid w:val="002F043F"/>
    <w:rsid w:val="002F0DCB"/>
    <w:rsid w:val="002F0E91"/>
    <w:rsid w:val="002F1CF3"/>
    <w:rsid w:val="002F2CC6"/>
    <w:rsid w:val="002F3360"/>
    <w:rsid w:val="002F4071"/>
    <w:rsid w:val="002F45CF"/>
    <w:rsid w:val="002F5933"/>
    <w:rsid w:val="002F59EA"/>
    <w:rsid w:val="002F5F70"/>
    <w:rsid w:val="002F647B"/>
    <w:rsid w:val="003006BF"/>
    <w:rsid w:val="00300938"/>
    <w:rsid w:val="00300FD9"/>
    <w:rsid w:val="00301330"/>
    <w:rsid w:val="00301803"/>
    <w:rsid w:val="00301F84"/>
    <w:rsid w:val="003033AC"/>
    <w:rsid w:val="00304418"/>
    <w:rsid w:val="003045BD"/>
    <w:rsid w:val="0030556E"/>
    <w:rsid w:val="00305B65"/>
    <w:rsid w:val="00306722"/>
    <w:rsid w:val="00310DA6"/>
    <w:rsid w:val="00311F31"/>
    <w:rsid w:val="00312DC5"/>
    <w:rsid w:val="00313545"/>
    <w:rsid w:val="00313CCB"/>
    <w:rsid w:val="003142A6"/>
    <w:rsid w:val="00314A61"/>
    <w:rsid w:val="00315923"/>
    <w:rsid w:val="00315A24"/>
    <w:rsid w:val="0031645E"/>
    <w:rsid w:val="00316AE6"/>
    <w:rsid w:val="00317447"/>
    <w:rsid w:val="00317867"/>
    <w:rsid w:val="0032154C"/>
    <w:rsid w:val="003215F3"/>
    <w:rsid w:val="0032174E"/>
    <w:rsid w:val="0032180A"/>
    <w:rsid w:val="0032239E"/>
    <w:rsid w:val="00322449"/>
    <w:rsid w:val="003233E3"/>
    <w:rsid w:val="0032364A"/>
    <w:rsid w:val="00323DC8"/>
    <w:rsid w:val="00324270"/>
    <w:rsid w:val="00324676"/>
    <w:rsid w:val="00324C90"/>
    <w:rsid w:val="003256EA"/>
    <w:rsid w:val="00325ABE"/>
    <w:rsid w:val="00327054"/>
    <w:rsid w:val="00327397"/>
    <w:rsid w:val="00327AC4"/>
    <w:rsid w:val="00327D51"/>
    <w:rsid w:val="00330989"/>
    <w:rsid w:val="00334DDF"/>
    <w:rsid w:val="003351AA"/>
    <w:rsid w:val="003352E4"/>
    <w:rsid w:val="00335455"/>
    <w:rsid w:val="003354DA"/>
    <w:rsid w:val="00336EB2"/>
    <w:rsid w:val="0033779B"/>
    <w:rsid w:val="0034094D"/>
    <w:rsid w:val="00340966"/>
    <w:rsid w:val="00341254"/>
    <w:rsid w:val="00341332"/>
    <w:rsid w:val="003417AB"/>
    <w:rsid w:val="00342370"/>
    <w:rsid w:val="00342FD6"/>
    <w:rsid w:val="00343260"/>
    <w:rsid w:val="003435CE"/>
    <w:rsid w:val="00343D6F"/>
    <w:rsid w:val="00343D9A"/>
    <w:rsid w:val="00343E9E"/>
    <w:rsid w:val="00344103"/>
    <w:rsid w:val="00344C09"/>
    <w:rsid w:val="003473E7"/>
    <w:rsid w:val="00347610"/>
    <w:rsid w:val="00347702"/>
    <w:rsid w:val="003506C8"/>
    <w:rsid w:val="00350A80"/>
    <w:rsid w:val="00350F9A"/>
    <w:rsid w:val="00351B55"/>
    <w:rsid w:val="00351D12"/>
    <w:rsid w:val="003549B1"/>
    <w:rsid w:val="00354CB7"/>
    <w:rsid w:val="003554FF"/>
    <w:rsid w:val="00355670"/>
    <w:rsid w:val="003565BB"/>
    <w:rsid w:val="00357307"/>
    <w:rsid w:val="00357BF9"/>
    <w:rsid w:val="00360014"/>
    <w:rsid w:val="003619D7"/>
    <w:rsid w:val="00361F1A"/>
    <w:rsid w:val="00362297"/>
    <w:rsid w:val="003627B9"/>
    <w:rsid w:val="00362B54"/>
    <w:rsid w:val="00363813"/>
    <w:rsid w:val="003638C4"/>
    <w:rsid w:val="00363A88"/>
    <w:rsid w:val="00363E96"/>
    <w:rsid w:val="00364070"/>
    <w:rsid w:val="003644E7"/>
    <w:rsid w:val="00364625"/>
    <w:rsid w:val="00364A2C"/>
    <w:rsid w:val="00364EC8"/>
    <w:rsid w:val="00365313"/>
    <w:rsid w:val="00365400"/>
    <w:rsid w:val="003654CD"/>
    <w:rsid w:val="00365C86"/>
    <w:rsid w:val="00366EA8"/>
    <w:rsid w:val="003671B9"/>
    <w:rsid w:val="00370C53"/>
    <w:rsid w:val="0037124B"/>
    <w:rsid w:val="00371397"/>
    <w:rsid w:val="0037154E"/>
    <w:rsid w:val="00371A50"/>
    <w:rsid w:val="0037282C"/>
    <w:rsid w:val="00372AF5"/>
    <w:rsid w:val="00373E37"/>
    <w:rsid w:val="00374B13"/>
    <w:rsid w:val="00374DEA"/>
    <w:rsid w:val="00374ED0"/>
    <w:rsid w:val="00375195"/>
    <w:rsid w:val="003751F2"/>
    <w:rsid w:val="003752CF"/>
    <w:rsid w:val="003757D8"/>
    <w:rsid w:val="00377B5C"/>
    <w:rsid w:val="00377E57"/>
    <w:rsid w:val="003824D8"/>
    <w:rsid w:val="00382C31"/>
    <w:rsid w:val="00382D5C"/>
    <w:rsid w:val="00383326"/>
    <w:rsid w:val="003839DD"/>
    <w:rsid w:val="003840D9"/>
    <w:rsid w:val="00384D05"/>
    <w:rsid w:val="00384EB8"/>
    <w:rsid w:val="0038539E"/>
    <w:rsid w:val="00385571"/>
    <w:rsid w:val="00386494"/>
    <w:rsid w:val="00387428"/>
    <w:rsid w:val="00387588"/>
    <w:rsid w:val="00387C8F"/>
    <w:rsid w:val="003903BE"/>
    <w:rsid w:val="003905FA"/>
    <w:rsid w:val="00390B93"/>
    <w:rsid w:val="00390D33"/>
    <w:rsid w:val="0039159F"/>
    <w:rsid w:val="00391BC9"/>
    <w:rsid w:val="00391D85"/>
    <w:rsid w:val="0039208C"/>
    <w:rsid w:val="003921E8"/>
    <w:rsid w:val="00395F1F"/>
    <w:rsid w:val="00396B3C"/>
    <w:rsid w:val="003976EE"/>
    <w:rsid w:val="00397D87"/>
    <w:rsid w:val="003A0B0C"/>
    <w:rsid w:val="003A0E97"/>
    <w:rsid w:val="003A1040"/>
    <w:rsid w:val="003A1746"/>
    <w:rsid w:val="003A198B"/>
    <w:rsid w:val="003A2E3B"/>
    <w:rsid w:val="003A2EF3"/>
    <w:rsid w:val="003A45E2"/>
    <w:rsid w:val="003A4B00"/>
    <w:rsid w:val="003A4B8F"/>
    <w:rsid w:val="003A4ED2"/>
    <w:rsid w:val="003A60E0"/>
    <w:rsid w:val="003A7241"/>
    <w:rsid w:val="003A7C20"/>
    <w:rsid w:val="003B014A"/>
    <w:rsid w:val="003B086D"/>
    <w:rsid w:val="003B094A"/>
    <w:rsid w:val="003B1467"/>
    <w:rsid w:val="003B1919"/>
    <w:rsid w:val="003B20F9"/>
    <w:rsid w:val="003B24A2"/>
    <w:rsid w:val="003B2545"/>
    <w:rsid w:val="003B3D18"/>
    <w:rsid w:val="003B4483"/>
    <w:rsid w:val="003B4810"/>
    <w:rsid w:val="003B5414"/>
    <w:rsid w:val="003B5A2E"/>
    <w:rsid w:val="003B5C51"/>
    <w:rsid w:val="003B6677"/>
    <w:rsid w:val="003B6A70"/>
    <w:rsid w:val="003C0A02"/>
    <w:rsid w:val="003C0EBE"/>
    <w:rsid w:val="003C15AC"/>
    <w:rsid w:val="003C1B17"/>
    <w:rsid w:val="003C1DA4"/>
    <w:rsid w:val="003C1EAF"/>
    <w:rsid w:val="003C23F8"/>
    <w:rsid w:val="003C26EF"/>
    <w:rsid w:val="003C279F"/>
    <w:rsid w:val="003C4073"/>
    <w:rsid w:val="003C40F3"/>
    <w:rsid w:val="003C5147"/>
    <w:rsid w:val="003C5324"/>
    <w:rsid w:val="003C5801"/>
    <w:rsid w:val="003C5A09"/>
    <w:rsid w:val="003C6F2D"/>
    <w:rsid w:val="003C727F"/>
    <w:rsid w:val="003D0503"/>
    <w:rsid w:val="003D19F1"/>
    <w:rsid w:val="003D2CC1"/>
    <w:rsid w:val="003D5229"/>
    <w:rsid w:val="003D66DE"/>
    <w:rsid w:val="003D727D"/>
    <w:rsid w:val="003D78AB"/>
    <w:rsid w:val="003E1682"/>
    <w:rsid w:val="003E1A6E"/>
    <w:rsid w:val="003E1E0A"/>
    <w:rsid w:val="003E1FA0"/>
    <w:rsid w:val="003E2AA4"/>
    <w:rsid w:val="003E3032"/>
    <w:rsid w:val="003E37EE"/>
    <w:rsid w:val="003E3E67"/>
    <w:rsid w:val="003E45EA"/>
    <w:rsid w:val="003E5CBD"/>
    <w:rsid w:val="003E61B4"/>
    <w:rsid w:val="003E66A5"/>
    <w:rsid w:val="003E6823"/>
    <w:rsid w:val="003E7BC7"/>
    <w:rsid w:val="003F0516"/>
    <w:rsid w:val="003F1125"/>
    <w:rsid w:val="003F21FD"/>
    <w:rsid w:val="003F223D"/>
    <w:rsid w:val="003F2959"/>
    <w:rsid w:val="003F48A6"/>
    <w:rsid w:val="003F4C03"/>
    <w:rsid w:val="003F5122"/>
    <w:rsid w:val="003F6017"/>
    <w:rsid w:val="003F65C3"/>
    <w:rsid w:val="003F68EE"/>
    <w:rsid w:val="003F6AD4"/>
    <w:rsid w:val="003F6F54"/>
    <w:rsid w:val="003F7106"/>
    <w:rsid w:val="003F73CE"/>
    <w:rsid w:val="0040061A"/>
    <w:rsid w:val="0040095F"/>
    <w:rsid w:val="004010C2"/>
    <w:rsid w:val="004015A8"/>
    <w:rsid w:val="00401C8C"/>
    <w:rsid w:val="00402816"/>
    <w:rsid w:val="0040298F"/>
    <w:rsid w:val="00402FB6"/>
    <w:rsid w:val="00403C2F"/>
    <w:rsid w:val="00403EC7"/>
    <w:rsid w:val="0040427A"/>
    <w:rsid w:val="00404E3B"/>
    <w:rsid w:val="00406C35"/>
    <w:rsid w:val="004100BF"/>
    <w:rsid w:val="0041035D"/>
    <w:rsid w:val="004104F2"/>
    <w:rsid w:val="00410F37"/>
    <w:rsid w:val="00411B92"/>
    <w:rsid w:val="00412A09"/>
    <w:rsid w:val="00412F4F"/>
    <w:rsid w:val="00413B5A"/>
    <w:rsid w:val="004142D5"/>
    <w:rsid w:val="00414ED3"/>
    <w:rsid w:val="00415E0C"/>
    <w:rsid w:val="004179B2"/>
    <w:rsid w:val="0042074A"/>
    <w:rsid w:val="00421DFB"/>
    <w:rsid w:val="0042291E"/>
    <w:rsid w:val="004230B4"/>
    <w:rsid w:val="004235F3"/>
    <w:rsid w:val="00423D97"/>
    <w:rsid w:val="0042486D"/>
    <w:rsid w:val="00425300"/>
    <w:rsid w:val="00425BFB"/>
    <w:rsid w:val="00426861"/>
    <w:rsid w:val="004273DE"/>
    <w:rsid w:val="00427E64"/>
    <w:rsid w:val="00427F92"/>
    <w:rsid w:val="00430529"/>
    <w:rsid w:val="00430D76"/>
    <w:rsid w:val="00430DDB"/>
    <w:rsid w:val="0043103D"/>
    <w:rsid w:val="004322E9"/>
    <w:rsid w:val="00432B90"/>
    <w:rsid w:val="00433E2E"/>
    <w:rsid w:val="00433FF5"/>
    <w:rsid w:val="004346A4"/>
    <w:rsid w:val="004358E1"/>
    <w:rsid w:val="00435B82"/>
    <w:rsid w:val="00435C10"/>
    <w:rsid w:val="00435DC7"/>
    <w:rsid w:val="004361BB"/>
    <w:rsid w:val="00436ACA"/>
    <w:rsid w:val="00436EB4"/>
    <w:rsid w:val="0044054A"/>
    <w:rsid w:val="004405E5"/>
    <w:rsid w:val="00440D16"/>
    <w:rsid w:val="00440D3D"/>
    <w:rsid w:val="004429BF"/>
    <w:rsid w:val="004429E9"/>
    <w:rsid w:val="00442AE0"/>
    <w:rsid w:val="00443BF3"/>
    <w:rsid w:val="00443C00"/>
    <w:rsid w:val="00443F3F"/>
    <w:rsid w:val="00444784"/>
    <w:rsid w:val="00445B79"/>
    <w:rsid w:val="00446119"/>
    <w:rsid w:val="0044661F"/>
    <w:rsid w:val="0044689A"/>
    <w:rsid w:val="00447987"/>
    <w:rsid w:val="00451632"/>
    <w:rsid w:val="0045168D"/>
    <w:rsid w:val="00453990"/>
    <w:rsid w:val="00455665"/>
    <w:rsid w:val="00455F25"/>
    <w:rsid w:val="004569FB"/>
    <w:rsid w:val="00456B36"/>
    <w:rsid w:val="00457450"/>
    <w:rsid w:val="00457684"/>
    <w:rsid w:val="00457A4B"/>
    <w:rsid w:val="00457E31"/>
    <w:rsid w:val="00460F76"/>
    <w:rsid w:val="0046215F"/>
    <w:rsid w:val="004628EB"/>
    <w:rsid w:val="00462D34"/>
    <w:rsid w:val="004638A4"/>
    <w:rsid w:val="004640D3"/>
    <w:rsid w:val="00464732"/>
    <w:rsid w:val="0046505A"/>
    <w:rsid w:val="00465805"/>
    <w:rsid w:val="00466DD5"/>
    <w:rsid w:val="0046724E"/>
    <w:rsid w:val="00467606"/>
    <w:rsid w:val="00467F44"/>
    <w:rsid w:val="00470576"/>
    <w:rsid w:val="004738ED"/>
    <w:rsid w:val="0047424F"/>
    <w:rsid w:val="00474E5B"/>
    <w:rsid w:val="00475354"/>
    <w:rsid w:val="004755DB"/>
    <w:rsid w:val="00476A74"/>
    <w:rsid w:val="00476B80"/>
    <w:rsid w:val="00476E00"/>
    <w:rsid w:val="00480CA9"/>
    <w:rsid w:val="00481A71"/>
    <w:rsid w:val="00481C63"/>
    <w:rsid w:val="00482044"/>
    <w:rsid w:val="00482A79"/>
    <w:rsid w:val="00482C81"/>
    <w:rsid w:val="00482CF2"/>
    <w:rsid w:val="00483077"/>
    <w:rsid w:val="00484BBB"/>
    <w:rsid w:val="00485257"/>
    <w:rsid w:val="0048590B"/>
    <w:rsid w:val="00486C5D"/>
    <w:rsid w:val="00486CF9"/>
    <w:rsid w:val="00486FC7"/>
    <w:rsid w:val="00487070"/>
    <w:rsid w:val="0048717C"/>
    <w:rsid w:val="004873E0"/>
    <w:rsid w:val="004874EC"/>
    <w:rsid w:val="004877F5"/>
    <w:rsid w:val="00487E51"/>
    <w:rsid w:val="004902C7"/>
    <w:rsid w:val="004908E9"/>
    <w:rsid w:val="00490C51"/>
    <w:rsid w:val="00490C6B"/>
    <w:rsid w:val="004915C5"/>
    <w:rsid w:val="004916DD"/>
    <w:rsid w:val="0049196F"/>
    <w:rsid w:val="004922DA"/>
    <w:rsid w:val="0049413E"/>
    <w:rsid w:val="00494DCF"/>
    <w:rsid w:val="00495728"/>
    <w:rsid w:val="00495A64"/>
    <w:rsid w:val="00495B47"/>
    <w:rsid w:val="00495E72"/>
    <w:rsid w:val="004965C1"/>
    <w:rsid w:val="00496B7E"/>
    <w:rsid w:val="00496E5B"/>
    <w:rsid w:val="00497862"/>
    <w:rsid w:val="004A017F"/>
    <w:rsid w:val="004A0AD6"/>
    <w:rsid w:val="004A0B93"/>
    <w:rsid w:val="004A1086"/>
    <w:rsid w:val="004A1467"/>
    <w:rsid w:val="004A1535"/>
    <w:rsid w:val="004A1AC0"/>
    <w:rsid w:val="004A252E"/>
    <w:rsid w:val="004A34E4"/>
    <w:rsid w:val="004A3955"/>
    <w:rsid w:val="004A4F77"/>
    <w:rsid w:val="004A5BF7"/>
    <w:rsid w:val="004A6010"/>
    <w:rsid w:val="004A6175"/>
    <w:rsid w:val="004A734E"/>
    <w:rsid w:val="004B064A"/>
    <w:rsid w:val="004B0A40"/>
    <w:rsid w:val="004B0FB5"/>
    <w:rsid w:val="004B1467"/>
    <w:rsid w:val="004B17FB"/>
    <w:rsid w:val="004B1D18"/>
    <w:rsid w:val="004B2806"/>
    <w:rsid w:val="004B32E4"/>
    <w:rsid w:val="004B3368"/>
    <w:rsid w:val="004B4415"/>
    <w:rsid w:val="004B469E"/>
    <w:rsid w:val="004B57B4"/>
    <w:rsid w:val="004B588D"/>
    <w:rsid w:val="004B5E2E"/>
    <w:rsid w:val="004B71B4"/>
    <w:rsid w:val="004B71F1"/>
    <w:rsid w:val="004B7BB6"/>
    <w:rsid w:val="004C0105"/>
    <w:rsid w:val="004C033E"/>
    <w:rsid w:val="004C1112"/>
    <w:rsid w:val="004C3B67"/>
    <w:rsid w:val="004C3C46"/>
    <w:rsid w:val="004C3E27"/>
    <w:rsid w:val="004C42EC"/>
    <w:rsid w:val="004C4389"/>
    <w:rsid w:val="004C5407"/>
    <w:rsid w:val="004C5474"/>
    <w:rsid w:val="004C57B4"/>
    <w:rsid w:val="004C59B2"/>
    <w:rsid w:val="004C5B3F"/>
    <w:rsid w:val="004C691E"/>
    <w:rsid w:val="004C7794"/>
    <w:rsid w:val="004D2256"/>
    <w:rsid w:val="004D2754"/>
    <w:rsid w:val="004D2D2C"/>
    <w:rsid w:val="004D2D52"/>
    <w:rsid w:val="004D3302"/>
    <w:rsid w:val="004D41D8"/>
    <w:rsid w:val="004D6B2B"/>
    <w:rsid w:val="004D7BB2"/>
    <w:rsid w:val="004E0473"/>
    <w:rsid w:val="004E0B8E"/>
    <w:rsid w:val="004E0CA0"/>
    <w:rsid w:val="004E10E7"/>
    <w:rsid w:val="004E1BA8"/>
    <w:rsid w:val="004E1C4A"/>
    <w:rsid w:val="004E1EAE"/>
    <w:rsid w:val="004E2E4E"/>
    <w:rsid w:val="004E3C80"/>
    <w:rsid w:val="004E4DFC"/>
    <w:rsid w:val="004E5464"/>
    <w:rsid w:val="004E55EC"/>
    <w:rsid w:val="004E5EE3"/>
    <w:rsid w:val="004E6F25"/>
    <w:rsid w:val="004E7AB0"/>
    <w:rsid w:val="004F2054"/>
    <w:rsid w:val="004F220F"/>
    <w:rsid w:val="004F2C05"/>
    <w:rsid w:val="004F2C3C"/>
    <w:rsid w:val="004F550F"/>
    <w:rsid w:val="004F55FF"/>
    <w:rsid w:val="004F5AB5"/>
    <w:rsid w:val="004F635E"/>
    <w:rsid w:val="004F6E39"/>
    <w:rsid w:val="004F7659"/>
    <w:rsid w:val="004F7C20"/>
    <w:rsid w:val="005016B1"/>
    <w:rsid w:val="00502D7A"/>
    <w:rsid w:val="00502DA1"/>
    <w:rsid w:val="00502DEE"/>
    <w:rsid w:val="00503B0B"/>
    <w:rsid w:val="00503D92"/>
    <w:rsid w:val="00503E10"/>
    <w:rsid w:val="0050466F"/>
    <w:rsid w:val="00504D3F"/>
    <w:rsid w:val="00505747"/>
    <w:rsid w:val="00505DDC"/>
    <w:rsid w:val="0050634B"/>
    <w:rsid w:val="00506ACC"/>
    <w:rsid w:val="00510C96"/>
    <w:rsid w:val="00512FA6"/>
    <w:rsid w:val="00513CA7"/>
    <w:rsid w:val="0051525A"/>
    <w:rsid w:val="0051583F"/>
    <w:rsid w:val="00515B71"/>
    <w:rsid w:val="00515B95"/>
    <w:rsid w:val="00516171"/>
    <w:rsid w:val="005200E9"/>
    <w:rsid w:val="00520587"/>
    <w:rsid w:val="00520727"/>
    <w:rsid w:val="005220BA"/>
    <w:rsid w:val="00522105"/>
    <w:rsid w:val="00524665"/>
    <w:rsid w:val="0052476C"/>
    <w:rsid w:val="005247E5"/>
    <w:rsid w:val="00524F93"/>
    <w:rsid w:val="00525709"/>
    <w:rsid w:val="005260FF"/>
    <w:rsid w:val="00526311"/>
    <w:rsid w:val="00526640"/>
    <w:rsid w:val="0052688B"/>
    <w:rsid w:val="00526D92"/>
    <w:rsid w:val="00527372"/>
    <w:rsid w:val="0053028C"/>
    <w:rsid w:val="00531B6C"/>
    <w:rsid w:val="00531BEC"/>
    <w:rsid w:val="00531C8B"/>
    <w:rsid w:val="00531DCA"/>
    <w:rsid w:val="00531DDE"/>
    <w:rsid w:val="00531E33"/>
    <w:rsid w:val="00532202"/>
    <w:rsid w:val="00532727"/>
    <w:rsid w:val="00533128"/>
    <w:rsid w:val="00533474"/>
    <w:rsid w:val="00533E0F"/>
    <w:rsid w:val="00534091"/>
    <w:rsid w:val="00534A1E"/>
    <w:rsid w:val="00535767"/>
    <w:rsid w:val="00535FD4"/>
    <w:rsid w:val="00536F8E"/>
    <w:rsid w:val="0053717F"/>
    <w:rsid w:val="00537296"/>
    <w:rsid w:val="00540570"/>
    <w:rsid w:val="00540BCD"/>
    <w:rsid w:val="0054112A"/>
    <w:rsid w:val="00541B53"/>
    <w:rsid w:val="005432A9"/>
    <w:rsid w:val="00544647"/>
    <w:rsid w:val="00545A15"/>
    <w:rsid w:val="00546F37"/>
    <w:rsid w:val="00547547"/>
    <w:rsid w:val="0054797D"/>
    <w:rsid w:val="005507BD"/>
    <w:rsid w:val="00551607"/>
    <w:rsid w:val="005539C2"/>
    <w:rsid w:val="00553B02"/>
    <w:rsid w:val="00554A8E"/>
    <w:rsid w:val="0055685E"/>
    <w:rsid w:val="00556DF4"/>
    <w:rsid w:val="00556F1C"/>
    <w:rsid w:val="00557108"/>
    <w:rsid w:val="005575C7"/>
    <w:rsid w:val="005576E2"/>
    <w:rsid w:val="005605BD"/>
    <w:rsid w:val="0056120E"/>
    <w:rsid w:val="00561D42"/>
    <w:rsid w:val="00562B59"/>
    <w:rsid w:val="00562F90"/>
    <w:rsid w:val="0056303E"/>
    <w:rsid w:val="005640AF"/>
    <w:rsid w:val="005647E0"/>
    <w:rsid w:val="00564885"/>
    <w:rsid w:val="005657F0"/>
    <w:rsid w:val="00565B81"/>
    <w:rsid w:val="00566739"/>
    <w:rsid w:val="0056697E"/>
    <w:rsid w:val="00566A53"/>
    <w:rsid w:val="0056717A"/>
    <w:rsid w:val="005672D8"/>
    <w:rsid w:val="0057013D"/>
    <w:rsid w:val="00570259"/>
    <w:rsid w:val="00570D0A"/>
    <w:rsid w:val="00570EF4"/>
    <w:rsid w:val="0057102E"/>
    <w:rsid w:val="0057200E"/>
    <w:rsid w:val="0057202B"/>
    <w:rsid w:val="00572231"/>
    <w:rsid w:val="0057277D"/>
    <w:rsid w:val="00573652"/>
    <w:rsid w:val="00573661"/>
    <w:rsid w:val="005737CD"/>
    <w:rsid w:val="005738C3"/>
    <w:rsid w:val="00574A05"/>
    <w:rsid w:val="00574F6A"/>
    <w:rsid w:val="0057603A"/>
    <w:rsid w:val="0057645B"/>
    <w:rsid w:val="005769A7"/>
    <w:rsid w:val="005775E2"/>
    <w:rsid w:val="0058031F"/>
    <w:rsid w:val="00580A95"/>
    <w:rsid w:val="00581A97"/>
    <w:rsid w:val="00581C28"/>
    <w:rsid w:val="00584251"/>
    <w:rsid w:val="00584268"/>
    <w:rsid w:val="00584462"/>
    <w:rsid w:val="00584C81"/>
    <w:rsid w:val="005851AB"/>
    <w:rsid w:val="0058542D"/>
    <w:rsid w:val="00585652"/>
    <w:rsid w:val="005860E8"/>
    <w:rsid w:val="0058617A"/>
    <w:rsid w:val="0058737E"/>
    <w:rsid w:val="0058757B"/>
    <w:rsid w:val="0059008A"/>
    <w:rsid w:val="005909DA"/>
    <w:rsid w:val="00590B4A"/>
    <w:rsid w:val="00590E49"/>
    <w:rsid w:val="00591D87"/>
    <w:rsid w:val="005929BA"/>
    <w:rsid w:val="0059308D"/>
    <w:rsid w:val="005938A8"/>
    <w:rsid w:val="00593BD3"/>
    <w:rsid w:val="005952CF"/>
    <w:rsid w:val="00596604"/>
    <w:rsid w:val="00596677"/>
    <w:rsid w:val="00596BAB"/>
    <w:rsid w:val="005970B1"/>
    <w:rsid w:val="005A0490"/>
    <w:rsid w:val="005A109D"/>
    <w:rsid w:val="005A1366"/>
    <w:rsid w:val="005A1647"/>
    <w:rsid w:val="005A226C"/>
    <w:rsid w:val="005A415E"/>
    <w:rsid w:val="005A428D"/>
    <w:rsid w:val="005A463B"/>
    <w:rsid w:val="005A4ABD"/>
    <w:rsid w:val="005A4CB4"/>
    <w:rsid w:val="005A4E61"/>
    <w:rsid w:val="005A5F3D"/>
    <w:rsid w:val="005A7426"/>
    <w:rsid w:val="005A7F4E"/>
    <w:rsid w:val="005B03C8"/>
    <w:rsid w:val="005B0D06"/>
    <w:rsid w:val="005B0E63"/>
    <w:rsid w:val="005B0EA0"/>
    <w:rsid w:val="005B10EE"/>
    <w:rsid w:val="005B1C49"/>
    <w:rsid w:val="005B21DD"/>
    <w:rsid w:val="005B4281"/>
    <w:rsid w:val="005B45E9"/>
    <w:rsid w:val="005B5116"/>
    <w:rsid w:val="005B5798"/>
    <w:rsid w:val="005B5EF1"/>
    <w:rsid w:val="005B6584"/>
    <w:rsid w:val="005B7424"/>
    <w:rsid w:val="005B759C"/>
    <w:rsid w:val="005B760E"/>
    <w:rsid w:val="005B7E16"/>
    <w:rsid w:val="005C0E2A"/>
    <w:rsid w:val="005C0E5C"/>
    <w:rsid w:val="005C178D"/>
    <w:rsid w:val="005C1AED"/>
    <w:rsid w:val="005C2609"/>
    <w:rsid w:val="005C2B9A"/>
    <w:rsid w:val="005C4645"/>
    <w:rsid w:val="005C5294"/>
    <w:rsid w:val="005C5CC9"/>
    <w:rsid w:val="005C5CE5"/>
    <w:rsid w:val="005C6797"/>
    <w:rsid w:val="005C691D"/>
    <w:rsid w:val="005D067D"/>
    <w:rsid w:val="005D17BE"/>
    <w:rsid w:val="005D2435"/>
    <w:rsid w:val="005D2FDE"/>
    <w:rsid w:val="005D30D3"/>
    <w:rsid w:val="005D31DC"/>
    <w:rsid w:val="005D3711"/>
    <w:rsid w:val="005D39A1"/>
    <w:rsid w:val="005D39F6"/>
    <w:rsid w:val="005D4428"/>
    <w:rsid w:val="005D4763"/>
    <w:rsid w:val="005D57B1"/>
    <w:rsid w:val="005D5951"/>
    <w:rsid w:val="005D6DB2"/>
    <w:rsid w:val="005D6E32"/>
    <w:rsid w:val="005D742C"/>
    <w:rsid w:val="005D779E"/>
    <w:rsid w:val="005D7E5A"/>
    <w:rsid w:val="005E0607"/>
    <w:rsid w:val="005E1E51"/>
    <w:rsid w:val="005E2C87"/>
    <w:rsid w:val="005E2FB8"/>
    <w:rsid w:val="005E4197"/>
    <w:rsid w:val="005E4C49"/>
    <w:rsid w:val="005E629C"/>
    <w:rsid w:val="005E6B6B"/>
    <w:rsid w:val="005E7342"/>
    <w:rsid w:val="005E768C"/>
    <w:rsid w:val="005E7D1C"/>
    <w:rsid w:val="005E7E0C"/>
    <w:rsid w:val="005F0B79"/>
    <w:rsid w:val="005F118A"/>
    <w:rsid w:val="005F1AE1"/>
    <w:rsid w:val="005F1D32"/>
    <w:rsid w:val="005F1E09"/>
    <w:rsid w:val="005F201C"/>
    <w:rsid w:val="005F21FA"/>
    <w:rsid w:val="005F2B90"/>
    <w:rsid w:val="005F2E1B"/>
    <w:rsid w:val="005F32AC"/>
    <w:rsid w:val="005F339C"/>
    <w:rsid w:val="005F4639"/>
    <w:rsid w:val="005F55AE"/>
    <w:rsid w:val="005F56CF"/>
    <w:rsid w:val="005F6778"/>
    <w:rsid w:val="005F6840"/>
    <w:rsid w:val="005F77DD"/>
    <w:rsid w:val="00600E34"/>
    <w:rsid w:val="00600EF9"/>
    <w:rsid w:val="00601243"/>
    <w:rsid w:val="00601375"/>
    <w:rsid w:val="00601B35"/>
    <w:rsid w:val="0060235A"/>
    <w:rsid w:val="00602CCD"/>
    <w:rsid w:val="00603004"/>
    <w:rsid w:val="006034A7"/>
    <w:rsid w:val="006041CB"/>
    <w:rsid w:val="00604496"/>
    <w:rsid w:val="00604687"/>
    <w:rsid w:val="00604820"/>
    <w:rsid w:val="00604BA5"/>
    <w:rsid w:val="006058FC"/>
    <w:rsid w:val="00606009"/>
    <w:rsid w:val="006064A7"/>
    <w:rsid w:val="00606D43"/>
    <w:rsid w:val="006075EB"/>
    <w:rsid w:val="006078FE"/>
    <w:rsid w:val="00610539"/>
    <w:rsid w:val="006115D6"/>
    <w:rsid w:val="00612A0A"/>
    <w:rsid w:val="00612CDE"/>
    <w:rsid w:val="00613281"/>
    <w:rsid w:val="006135A2"/>
    <w:rsid w:val="00613E26"/>
    <w:rsid w:val="00614006"/>
    <w:rsid w:val="00614A99"/>
    <w:rsid w:val="0061626F"/>
    <w:rsid w:val="00616433"/>
    <w:rsid w:val="006167B3"/>
    <w:rsid w:val="00617146"/>
    <w:rsid w:val="0061725F"/>
    <w:rsid w:val="0062022A"/>
    <w:rsid w:val="00621276"/>
    <w:rsid w:val="0062128C"/>
    <w:rsid w:val="006218F3"/>
    <w:rsid w:val="00622D1F"/>
    <w:rsid w:val="0062338B"/>
    <w:rsid w:val="006237DD"/>
    <w:rsid w:val="006237DF"/>
    <w:rsid w:val="00623C17"/>
    <w:rsid w:val="006248A2"/>
    <w:rsid w:val="00625EFD"/>
    <w:rsid w:val="00626469"/>
    <w:rsid w:val="00626974"/>
    <w:rsid w:val="00627621"/>
    <w:rsid w:val="006277A4"/>
    <w:rsid w:val="00627B3E"/>
    <w:rsid w:val="00627CB9"/>
    <w:rsid w:val="00627FC1"/>
    <w:rsid w:val="00630DED"/>
    <w:rsid w:val="006312C1"/>
    <w:rsid w:val="00631496"/>
    <w:rsid w:val="006314AA"/>
    <w:rsid w:val="00631543"/>
    <w:rsid w:val="006318E1"/>
    <w:rsid w:val="00631BCA"/>
    <w:rsid w:val="0063302F"/>
    <w:rsid w:val="0063333D"/>
    <w:rsid w:val="00634FDD"/>
    <w:rsid w:val="00636682"/>
    <w:rsid w:val="00636FBD"/>
    <w:rsid w:val="006378CB"/>
    <w:rsid w:val="0063790C"/>
    <w:rsid w:val="00640369"/>
    <w:rsid w:val="00640499"/>
    <w:rsid w:val="006412E9"/>
    <w:rsid w:val="00641E19"/>
    <w:rsid w:val="00642822"/>
    <w:rsid w:val="006429A9"/>
    <w:rsid w:val="00642BAE"/>
    <w:rsid w:val="0064459E"/>
    <w:rsid w:val="0064526C"/>
    <w:rsid w:val="00645798"/>
    <w:rsid w:val="00647C79"/>
    <w:rsid w:val="00650252"/>
    <w:rsid w:val="006504F7"/>
    <w:rsid w:val="00651220"/>
    <w:rsid w:val="006515F3"/>
    <w:rsid w:val="00653261"/>
    <w:rsid w:val="006536A9"/>
    <w:rsid w:val="00655051"/>
    <w:rsid w:val="00655982"/>
    <w:rsid w:val="00655A2D"/>
    <w:rsid w:val="00656179"/>
    <w:rsid w:val="006569A3"/>
    <w:rsid w:val="00656A73"/>
    <w:rsid w:val="00656BEE"/>
    <w:rsid w:val="006601A3"/>
    <w:rsid w:val="006604D3"/>
    <w:rsid w:val="00662B0C"/>
    <w:rsid w:val="006636F3"/>
    <w:rsid w:val="006642EF"/>
    <w:rsid w:val="00664D4C"/>
    <w:rsid w:val="00665AF3"/>
    <w:rsid w:val="00666B67"/>
    <w:rsid w:val="00666C57"/>
    <w:rsid w:val="00667C14"/>
    <w:rsid w:val="00670038"/>
    <w:rsid w:val="00670764"/>
    <w:rsid w:val="00670AB6"/>
    <w:rsid w:val="00670F31"/>
    <w:rsid w:val="00671CB3"/>
    <w:rsid w:val="006729B3"/>
    <w:rsid w:val="006729DD"/>
    <w:rsid w:val="006742C4"/>
    <w:rsid w:val="00675F94"/>
    <w:rsid w:val="0067635E"/>
    <w:rsid w:val="00677BFA"/>
    <w:rsid w:val="00677DFB"/>
    <w:rsid w:val="00680660"/>
    <w:rsid w:val="00680B35"/>
    <w:rsid w:val="00680B48"/>
    <w:rsid w:val="00680BB2"/>
    <w:rsid w:val="006820B4"/>
    <w:rsid w:val="006828F2"/>
    <w:rsid w:val="00682D7D"/>
    <w:rsid w:val="00682D89"/>
    <w:rsid w:val="00682F59"/>
    <w:rsid w:val="0068461E"/>
    <w:rsid w:val="00686531"/>
    <w:rsid w:val="00686D84"/>
    <w:rsid w:val="00687048"/>
    <w:rsid w:val="00687F60"/>
    <w:rsid w:val="00690E2B"/>
    <w:rsid w:val="0069334F"/>
    <w:rsid w:val="006948F1"/>
    <w:rsid w:val="006956CE"/>
    <w:rsid w:val="00696362"/>
    <w:rsid w:val="00696508"/>
    <w:rsid w:val="00696F01"/>
    <w:rsid w:val="0069795D"/>
    <w:rsid w:val="00697DD5"/>
    <w:rsid w:val="006A01FF"/>
    <w:rsid w:val="006A0D59"/>
    <w:rsid w:val="006A288D"/>
    <w:rsid w:val="006A364A"/>
    <w:rsid w:val="006A38F3"/>
    <w:rsid w:val="006A3FD2"/>
    <w:rsid w:val="006A4952"/>
    <w:rsid w:val="006A4BC4"/>
    <w:rsid w:val="006A4D9D"/>
    <w:rsid w:val="006A56BE"/>
    <w:rsid w:val="006A6086"/>
    <w:rsid w:val="006A612D"/>
    <w:rsid w:val="006A6268"/>
    <w:rsid w:val="006A6842"/>
    <w:rsid w:val="006A726B"/>
    <w:rsid w:val="006B03BA"/>
    <w:rsid w:val="006B0EF6"/>
    <w:rsid w:val="006B16FF"/>
    <w:rsid w:val="006B19AD"/>
    <w:rsid w:val="006B1E0C"/>
    <w:rsid w:val="006B2202"/>
    <w:rsid w:val="006B2EC3"/>
    <w:rsid w:val="006B3746"/>
    <w:rsid w:val="006B3822"/>
    <w:rsid w:val="006B39A2"/>
    <w:rsid w:val="006B47D3"/>
    <w:rsid w:val="006B4F76"/>
    <w:rsid w:val="006B58E3"/>
    <w:rsid w:val="006B60E2"/>
    <w:rsid w:val="006B7FBA"/>
    <w:rsid w:val="006C0630"/>
    <w:rsid w:val="006C0F3A"/>
    <w:rsid w:val="006C1195"/>
    <w:rsid w:val="006C1C98"/>
    <w:rsid w:val="006C3294"/>
    <w:rsid w:val="006C3659"/>
    <w:rsid w:val="006C3814"/>
    <w:rsid w:val="006C3BAF"/>
    <w:rsid w:val="006C3C9E"/>
    <w:rsid w:val="006C3FB2"/>
    <w:rsid w:val="006C4055"/>
    <w:rsid w:val="006C4303"/>
    <w:rsid w:val="006C4674"/>
    <w:rsid w:val="006C4B84"/>
    <w:rsid w:val="006C516A"/>
    <w:rsid w:val="006C5F1B"/>
    <w:rsid w:val="006C62A6"/>
    <w:rsid w:val="006C67B3"/>
    <w:rsid w:val="006C68B8"/>
    <w:rsid w:val="006C6CFC"/>
    <w:rsid w:val="006C77B4"/>
    <w:rsid w:val="006C7AED"/>
    <w:rsid w:val="006C7B29"/>
    <w:rsid w:val="006D02E1"/>
    <w:rsid w:val="006D0434"/>
    <w:rsid w:val="006D0AB9"/>
    <w:rsid w:val="006D1011"/>
    <w:rsid w:val="006D25C6"/>
    <w:rsid w:val="006D26E0"/>
    <w:rsid w:val="006D2AC4"/>
    <w:rsid w:val="006D32BE"/>
    <w:rsid w:val="006D367C"/>
    <w:rsid w:val="006D37A4"/>
    <w:rsid w:val="006D3802"/>
    <w:rsid w:val="006D38FA"/>
    <w:rsid w:val="006D3C9C"/>
    <w:rsid w:val="006D5106"/>
    <w:rsid w:val="006D558E"/>
    <w:rsid w:val="006D64FE"/>
    <w:rsid w:val="006D79DD"/>
    <w:rsid w:val="006D7EB3"/>
    <w:rsid w:val="006D7FCB"/>
    <w:rsid w:val="006E0C5B"/>
    <w:rsid w:val="006E0C60"/>
    <w:rsid w:val="006E0DCD"/>
    <w:rsid w:val="006E1ABF"/>
    <w:rsid w:val="006E2589"/>
    <w:rsid w:val="006E2659"/>
    <w:rsid w:val="006E26CB"/>
    <w:rsid w:val="006E299C"/>
    <w:rsid w:val="006E3B23"/>
    <w:rsid w:val="006E4109"/>
    <w:rsid w:val="006E4355"/>
    <w:rsid w:val="006E45D9"/>
    <w:rsid w:val="006E4BB0"/>
    <w:rsid w:val="006E54F1"/>
    <w:rsid w:val="006E5D1F"/>
    <w:rsid w:val="006E6B30"/>
    <w:rsid w:val="006E716F"/>
    <w:rsid w:val="006E7745"/>
    <w:rsid w:val="006F08FE"/>
    <w:rsid w:val="006F093D"/>
    <w:rsid w:val="006F2C76"/>
    <w:rsid w:val="006F3AED"/>
    <w:rsid w:val="006F4222"/>
    <w:rsid w:val="006F5D55"/>
    <w:rsid w:val="006F60C7"/>
    <w:rsid w:val="006F752C"/>
    <w:rsid w:val="00700039"/>
    <w:rsid w:val="00700268"/>
    <w:rsid w:val="007004E3"/>
    <w:rsid w:val="00700656"/>
    <w:rsid w:val="00700CF4"/>
    <w:rsid w:val="00702885"/>
    <w:rsid w:val="0070328C"/>
    <w:rsid w:val="00703580"/>
    <w:rsid w:val="007037A8"/>
    <w:rsid w:val="0070417A"/>
    <w:rsid w:val="007046B9"/>
    <w:rsid w:val="00704DC0"/>
    <w:rsid w:val="00706124"/>
    <w:rsid w:val="0070722D"/>
    <w:rsid w:val="007077FC"/>
    <w:rsid w:val="00710080"/>
    <w:rsid w:val="00711A13"/>
    <w:rsid w:val="00711DF0"/>
    <w:rsid w:val="00711F59"/>
    <w:rsid w:val="007128CD"/>
    <w:rsid w:val="00712A94"/>
    <w:rsid w:val="00712EFE"/>
    <w:rsid w:val="00712F6A"/>
    <w:rsid w:val="007145A7"/>
    <w:rsid w:val="00714CEB"/>
    <w:rsid w:val="007152C2"/>
    <w:rsid w:val="00715AA0"/>
    <w:rsid w:val="00716C33"/>
    <w:rsid w:val="00720E08"/>
    <w:rsid w:val="0072131D"/>
    <w:rsid w:val="00722592"/>
    <w:rsid w:val="007233A7"/>
    <w:rsid w:val="00723CD3"/>
    <w:rsid w:val="00724B5F"/>
    <w:rsid w:val="00726097"/>
    <w:rsid w:val="00726123"/>
    <w:rsid w:val="00726837"/>
    <w:rsid w:val="00726A15"/>
    <w:rsid w:val="0073033B"/>
    <w:rsid w:val="00730824"/>
    <w:rsid w:val="00730CC2"/>
    <w:rsid w:val="00731E48"/>
    <w:rsid w:val="00733E8C"/>
    <w:rsid w:val="00733FAC"/>
    <w:rsid w:val="007343AC"/>
    <w:rsid w:val="0073462F"/>
    <w:rsid w:val="007346C1"/>
    <w:rsid w:val="0073596C"/>
    <w:rsid w:val="00735BDB"/>
    <w:rsid w:val="00736488"/>
    <w:rsid w:val="007367EC"/>
    <w:rsid w:val="007404BA"/>
    <w:rsid w:val="0074091A"/>
    <w:rsid w:val="00740F4A"/>
    <w:rsid w:val="00741012"/>
    <w:rsid w:val="007412B3"/>
    <w:rsid w:val="00741B8E"/>
    <w:rsid w:val="00742B86"/>
    <w:rsid w:val="00743F9B"/>
    <w:rsid w:val="00744451"/>
    <w:rsid w:val="0074456C"/>
    <w:rsid w:val="0074474A"/>
    <w:rsid w:val="00744CDD"/>
    <w:rsid w:val="00744D85"/>
    <w:rsid w:val="0074519A"/>
    <w:rsid w:val="00745215"/>
    <w:rsid w:val="00745A91"/>
    <w:rsid w:val="007460B7"/>
    <w:rsid w:val="00747B97"/>
    <w:rsid w:val="00747D82"/>
    <w:rsid w:val="00747FD6"/>
    <w:rsid w:val="0075048B"/>
    <w:rsid w:val="00750526"/>
    <w:rsid w:val="007508B3"/>
    <w:rsid w:val="00750A5B"/>
    <w:rsid w:val="007517A3"/>
    <w:rsid w:val="00752356"/>
    <w:rsid w:val="00752610"/>
    <w:rsid w:val="00752E7E"/>
    <w:rsid w:val="00754250"/>
    <w:rsid w:val="00754A4F"/>
    <w:rsid w:val="0075502B"/>
    <w:rsid w:val="00755C0C"/>
    <w:rsid w:val="00755D16"/>
    <w:rsid w:val="0075649C"/>
    <w:rsid w:val="00756FC3"/>
    <w:rsid w:val="00757323"/>
    <w:rsid w:val="00757343"/>
    <w:rsid w:val="00760DD0"/>
    <w:rsid w:val="00761513"/>
    <w:rsid w:val="0076238E"/>
    <w:rsid w:val="007633F4"/>
    <w:rsid w:val="00763854"/>
    <w:rsid w:val="00763D37"/>
    <w:rsid w:val="007641BB"/>
    <w:rsid w:val="007642F9"/>
    <w:rsid w:val="00764938"/>
    <w:rsid w:val="00764C50"/>
    <w:rsid w:val="00765ED5"/>
    <w:rsid w:val="007660ED"/>
    <w:rsid w:val="0076645B"/>
    <w:rsid w:val="00766786"/>
    <w:rsid w:val="00767F50"/>
    <w:rsid w:val="0077020B"/>
    <w:rsid w:val="00770631"/>
    <w:rsid w:val="00770BDF"/>
    <w:rsid w:val="007725A2"/>
    <w:rsid w:val="00772A61"/>
    <w:rsid w:val="00772C26"/>
    <w:rsid w:val="00773414"/>
    <w:rsid w:val="00773F25"/>
    <w:rsid w:val="0077453D"/>
    <w:rsid w:val="0077455D"/>
    <w:rsid w:val="0077476E"/>
    <w:rsid w:val="0077580D"/>
    <w:rsid w:val="00776025"/>
    <w:rsid w:val="0077612C"/>
    <w:rsid w:val="007764D8"/>
    <w:rsid w:val="007767E7"/>
    <w:rsid w:val="0077696A"/>
    <w:rsid w:val="00776C10"/>
    <w:rsid w:val="00776FBE"/>
    <w:rsid w:val="0077711B"/>
    <w:rsid w:val="00777A45"/>
    <w:rsid w:val="00777DF1"/>
    <w:rsid w:val="00777F47"/>
    <w:rsid w:val="00777F49"/>
    <w:rsid w:val="00780527"/>
    <w:rsid w:val="007808E9"/>
    <w:rsid w:val="00780ED6"/>
    <w:rsid w:val="00781A24"/>
    <w:rsid w:val="007821D8"/>
    <w:rsid w:val="00784097"/>
    <w:rsid w:val="0078477D"/>
    <w:rsid w:val="00784798"/>
    <w:rsid w:val="007854D4"/>
    <w:rsid w:val="00786B50"/>
    <w:rsid w:val="00786C4A"/>
    <w:rsid w:val="0078760F"/>
    <w:rsid w:val="00787FA1"/>
    <w:rsid w:val="0079027C"/>
    <w:rsid w:val="007903A5"/>
    <w:rsid w:val="00790F5A"/>
    <w:rsid w:val="007912D2"/>
    <w:rsid w:val="00791B92"/>
    <w:rsid w:val="00792EC6"/>
    <w:rsid w:val="00793973"/>
    <w:rsid w:val="00793C93"/>
    <w:rsid w:val="00793EA7"/>
    <w:rsid w:val="007942EB"/>
    <w:rsid w:val="00794A13"/>
    <w:rsid w:val="00794CDC"/>
    <w:rsid w:val="00794EBE"/>
    <w:rsid w:val="00795532"/>
    <w:rsid w:val="007956FD"/>
    <w:rsid w:val="007959FF"/>
    <w:rsid w:val="00795F40"/>
    <w:rsid w:val="007966CF"/>
    <w:rsid w:val="0079750C"/>
    <w:rsid w:val="00797CB2"/>
    <w:rsid w:val="007A079D"/>
    <w:rsid w:val="007A10FA"/>
    <w:rsid w:val="007A1D0B"/>
    <w:rsid w:val="007A2096"/>
    <w:rsid w:val="007A209E"/>
    <w:rsid w:val="007A32DD"/>
    <w:rsid w:val="007A34AE"/>
    <w:rsid w:val="007A42A7"/>
    <w:rsid w:val="007A430C"/>
    <w:rsid w:val="007A5EA0"/>
    <w:rsid w:val="007A646F"/>
    <w:rsid w:val="007A7188"/>
    <w:rsid w:val="007A7779"/>
    <w:rsid w:val="007A79A2"/>
    <w:rsid w:val="007A7BA9"/>
    <w:rsid w:val="007B07C4"/>
    <w:rsid w:val="007B1C08"/>
    <w:rsid w:val="007B1C1B"/>
    <w:rsid w:val="007B239A"/>
    <w:rsid w:val="007B2C56"/>
    <w:rsid w:val="007B3592"/>
    <w:rsid w:val="007B4587"/>
    <w:rsid w:val="007B57BE"/>
    <w:rsid w:val="007B5FFB"/>
    <w:rsid w:val="007B64EC"/>
    <w:rsid w:val="007B66C6"/>
    <w:rsid w:val="007B675F"/>
    <w:rsid w:val="007B7874"/>
    <w:rsid w:val="007B7DEB"/>
    <w:rsid w:val="007C01EB"/>
    <w:rsid w:val="007C073A"/>
    <w:rsid w:val="007C1227"/>
    <w:rsid w:val="007C1EDA"/>
    <w:rsid w:val="007C266B"/>
    <w:rsid w:val="007C3B57"/>
    <w:rsid w:val="007C54D4"/>
    <w:rsid w:val="007C5668"/>
    <w:rsid w:val="007C56DA"/>
    <w:rsid w:val="007C56E9"/>
    <w:rsid w:val="007C620D"/>
    <w:rsid w:val="007C64CC"/>
    <w:rsid w:val="007C6A1F"/>
    <w:rsid w:val="007D0366"/>
    <w:rsid w:val="007D050D"/>
    <w:rsid w:val="007D0C99"/>
    <w:rsid w:val="007D1BED"/>
    <w:rsid w:val="007D1D5E"/>
    <w:rsid w:val="007D2C54"/>
    <w:rsid w:val="007D4100"/>
    <w:rsid w:val="007D587E"/>
    <w:rsid w:val="007D590D"/>
    <w:rsid w:val="007D67D9"/>
    <w:rsid w:val="007D6ADF"/>
    <w:rsid w:val="007D73F6"/>
    <w:rsid w:val="007D7864"/>
    <w:rsid w:val="007E0186"/>
    <w:rsid w:val="007E048D"/>
    <w:rsid w:val="007E09CF"/>
    <w:rsid w:val="007E0A86"/>
    <w:rsid w:val="007E1B21"/>
    <w:rsid w:val="007E1D1D"/>
    <w:rsid w:val="007E1F37"/>
    <w:rsid w:val="007E21F4"/>
    <w:rsid w:val="007E25F5"/>
    <w:rsid w:val="007E3161"/>
    <w:rsid w:val="007E3CB9"/>
    <w:rsid w:val="007E3EFA"/>
    <w:rsid w:val="007E4696"/>
    <w:rsid w:val="007E46C0"/>
    <w:rsid w:val="007E548D"/>
    <w:rsid w:val="007E5C21"/>
    <w:rsid w:val="007E627F"/>
    <w:rsid w:val="007E6BE7"/>
    <w:rsid w:val="007E753C"/>
    <w:rsid w:val="007F0629"/>
    <w:rsid w:val="007F084A"/>
    <w:rsid w:val="007F0FC4"/>
    <w:rsid w:val="007F1108"/>
    <w:rsid w:val="007F179F"/>
    <w:rsid w:val="007F1B29"/>
    <w:rsid w:val="007F2F07"/>
    <w:rsid w:val="007F4AD0"/>
    <w:rsid w:val="007F5563"/>
    <w:rsid w:val="007F6790"/>
    <w:rsid w:val="007F7C30"/>
    <w:rsid w:val="0080299F"/>
    <w:rsid w:val="00802B2D"/>
    <w:rsid w:val="00802B47"/>
    <w:rsid w:val="00802DB6"/>
    <w:rsid w:val="00802E86"/>
    <w:rsid w:val="008031A9"/>
    <w:rsid w:val="00803508"/>
    <w:rsid w:val="00803BDF"/>
    <w:rsid w:val="00804AE4"/>
    <w:rsid w:val="00805A87"/>
    <w:rsid w:val="00806607"/>
    <w:rsid w:val="00806AB2"/>
    <w:rsid w:val="00806C3A"/>
    <w:rsid w:val="00807466"/>
    <w:rsid w:val="00807CEB"/>
    <w:rsid w:val="00807EF6"/>
    <w:rsid w:val="008116BB"/>
    <w:rsid w:val="00811AB7"/>
    <w:rsid w:val="00811CBE"/>
    <w:rsid w:val="0081288E"/>
    <w:rsid w:val="008129CC"/>
    <w:rsid w:val="00812E92"/>
    <w:rsid w:val="008134E9"/>
    <w:rsid w:val="00813EA1"/>
    <w:rsid w:val="008146B7"/>
    <w:rsid w:val="00814FFF"/>
    <w:rsid w:val="008150EC"/>
    <w:rsid w:val="00816933"/>
    <w:rsid w:val="00816F91"/>
    <w:rsid w:val="00816FD5"/>
    <w:rsid w:val="008178CE"/>
    <w:rsid w:val="00817EBF"/>
    <w:rsid w:val="00821440"/>
    <w:rsid w:val="008214AF"/>
    <w:rsid w:val="008214C4"/>
    <w:rsid w:val="008218C4"/>
    <w:rsid w:val="00821A46"/>
    <w:rsid w:val="008229BA"/>
    <w:rsid w:val="00822C82"/>
    <w:rsid w:val="008235D0"/>
    <w:rsid w:val="00823A72"/>
    <w:rsid w:val="0082609E"/>
    <w:rsid w:val="008261BB"/>
    <w:rsid w:val="008267DB"/>
    <w:rsid w:val="008275F0"/>
    <w:rsid w:val="008276D8"/>
    <w:rsid w:val="00827803"/>
    <w:rsid w:val="00827D99"/>
    <w:rsid w:val="00830854"/>
    <w:rsid w:val="00830BE7"/>
    <w:rsid w:val="00830C8C"/>
    <w:rsid w:val="00830CEA"/>
    <w:rsid w:val="00831CD8"/>
    <w:rsid w:val="00831E48"/>
    <w:rsid w:val="008321BA"/>
    <w:rsid w:val="00832855"/>
    <w:rsid w:val="00832C3A"/>
    <w:rsid w:val="00832C40"/>
    <w:rsid w:val="00833246"/>
    <w:rsid w:val="00833264"/>
    <w:rsid w:val="0083374B"/>
    <w:rsid w:val="0083391D"/>
    <w:rsid w:val="008348B4"/>
    <w:rsid w:val="0083537A"/>
    <w:rsid w:val="008357D6"/>
    <w:rsid w:val="008357DC"/>
    <w:rsid w:val="008361F3"/>
    <w:rsid w:val="008363BA"/>
    <w:rsid w:val="0083662A"/>
    <w:rsid w:val="00836818"/>
    <w:rsid w:val="008405E7"/>
    <w:rsid w:val="00840936"/>
    <w:rsid w:val="00841264"/>
    <w:rsid w:val="008419F1"/>
    <w:rsid w:val="00841E43"/>
    <w:rsid w:val="00842F96"/>
    <w:rsid w:val="00843E57"/>
    <w:rsid w:val="00844677"/>
    <w:rsid w:val="00844ACA"/>
    <w:rsid w:val="008458A1"/>
    <w:rsid w:val="008462B5"/>
    <w:rsid w:val="00846711"/>
    <w:rsid w:val="00846741"/>
    <w:rsid w:val="00847293"/>
    <w:rsid w:val="00847A22"/>
    <w:rsid w:val="00850E8E"/>
    <w:rsid w:val="00850EBA"/>
    <w:rsid w:val="00851149"/>
    <w:rsid w:val="00852528"/>
    <w:rsid w:val="008525EF"/>
    <w:rsid w:val="00853188"/>
    <w:rsid w:val="008537B3"/>
    <w:rsid w:val="00854173"/>
    <w:rsid w:val="00854720"/>
    <w:rsid w:val="00854E2E"/>
    <w:rsid w:val="00854F20"/>
    <w:rsid w:val="008554EA"/>
    <w:rsid w:val="008555F0"/>
    <w:rsid w:val="0085663A"/>
    <w:rsid w:val="0085722F"/>
    <w:rsid w:val="008577EF"/>
    <w:rsid w:val="00857B6B"/>
    <w:rsid w:val="00857D2E"/>
    <w:rsid w:val="00860682"/>
    <w:rsid w:val="008614EE"/>
    <w:rsid w:val="0086169A"/>
    <w:rsid w:val="00861BFA"/>
    <w:rsid w:val="00861D66"/>
    <w:rsid w:val="00862190"/>
    <w:rsid w:val="00862776"/>
    <w:rsid w:val="00863455"/>
    <w:rsid w:val="00863C4E"/>
    <w:rsid w:val="00863CFE"/>
    <w:rsid w:val="0086440D"/>
    <w:rsid w:val="0086489D"/>
    <w:rsid w:val="008649E1"/>
    <w:rsid w:val="00864F05"/>
    <w:rsid w:val="0086592D"/>
    <w:rsid w:val="00867438"/>
    <w:rsid w:val="00867FD2"/>
    <w:rsid w:val="008701C6"/>
    <w:rsid w:val="008701D5"/>
    <w:rsid w:val="0087085A"/>
    <w:rsid w:val="00870A92"/>
    <w:rsid w:val="0087118C"/>
    <w:rsid w:val="00871B21"/>
    <w:rsid w:val="00871E3D"/>
    <w:rsid w:val="0087289C"/>
    <w:rsid w:val="008732EF"/>
    <w:rsid w:val="0087348B"/>
    <w:rsid w:val="00873C17"/>
    <w:rsid w:val="00874097"/>
    <w:rsid w:val="008742EB"/>
    <w:rsid w:val="008743EC"/>
    <w:rsid w:val="00875C83"/>
    <w:rsid w:val="00876079"/>
    <w:rsid w:val="00876A66"/>
    <w:rsid w:val="00877A32"/>
    <w:rsid w:val="008800CA"/>
    <w:rsid w:val="00880118"/>
    <w:rsid w:val="0088021D"/>
    <w:rsid w:val="008811F8"/>
    <w:rsid w:val="008819F6"/>
    <w:rsid w:val="00881DFD"/>
    <w:rsid w:val="00881EA1"/>
    <w:rsid w:val="008822B6"/>
    <w:rsid w:val="008823CF"/>
    <w:rsid w:val="00883394"/>
    <w:rsid w:val="00883BA0"/>
    <w:rsid w:val="00883D67"/>
    <w:rsid w:val="008844AD"/>
    <w:rsid w:val="00884B7B"/>
    <w:rsid w:val="008854CE"/>
    <w:rsid w:val="008855EF"/>
    <w:rsid w:val="00885792"/>
    <w:rsid w:val="0088596C"/>
    <w:rsid w:val="00885A88"/>
    <w:rsid w:val="00886421"/>
    <w:rsid w:val="0088696A"/>
    <w:rsid w:val="00886A44"/>
    <w:rsid w:val="00886C18"/>
    <w:rsid w:val="00890451"/>
    <w:rsid w:val="0089173A"/>
    <w:rsid w:val="00892627"/>
    <w:rsid w:val="00892EB2"/>
    <w:rsid w:val="0089317F"/>
    <w:rsid w:val="00893970"/>
    <w:rsid w:val="00893EDE"/>
    <w:rsid w:val="00894706"/>
    <w:rsid w:val="00894F9E"/>
    <w:rsid w:val="00896581"/>
    <w:rsid w:val="0089672B"/>
    <w:rsid w:val="00896F78"/>
    <w:rsid w:val="008970F9"/>
    <w:rsid w:val="0089710F"/>
    <w:rsid w:val="008977E8"/>
    <w:rsid w:val="00897D61"/>
    <w:rsid w:val="00897EBA"/>
    <w:rsid w:val="00897EFF"/>
    <w:rsid w:val="008A0664"/>
    <w:rsid w:val="008A0FAC"/>
    <w:rsid w:val="008A1544"/>
    <w:rsid w:val="008A1580"/>
    <w:rsid w:val="008A1F08"/>
    <w:rsid w:val="008A24B6"/>
    <w:rsid w:val="008A24E2"/>
    <w:rsid w:val="008A35D6"/>
    <w:rsid w:val="008A3771"/>
    <w:rsid w:val="008A3902"/>
    <w:rsid w:val="008A3B7C"/>
    <w:rsid w:val="008A419F"/>
    <w:rsid w:val="008A4536"/>
    <w:rsid w:val="008A4A7F"/>
    <w:rsid w:val="008A4D67"/>
    <w:rsid w:val="008A4DA5"/>
    <w:rsid w:val="008A5751"/>
    <w:rsid w:val="008A601E"/>
    <w:rsid w:val="008A6918"/>
    <w:rsid w:val="008B010A"/>
    <w:rsid w:val="008B0833"/>
    <w:rsid w:val="008B1F03"/>
    <w:rsid w:val="008B2268"/>
    <w:rsid w:val="008B297D"/>
    <w:rsid w:val="008B2E78"/>
    <w:rsid w:val="008B3BAE"/>
    <w:rsid w:val="008B5109"/>
    <w:rsid w:val="008B5AED"/>
    <w:rsid w:val="008B5D8F"/>
    <w:rsid w:val="008B6D1A"/>
    <w:rsid w:val="008B6EA9"/>
    <w:rsid w:val="008B796B"/>
    <w:rsid w:val="008B7BB4"/>
    <w:rsid w:val="008C0D18"/>
    <w:rsid w:val="008C171B"/>
    <w:rsid w:val="008C1D78"/>
    <w:rsid w:val="008C2608"/>
    <w:rsid w:val="008C27BB"/>
    <w:rsid w:val="008C34C2"/>
    <w:rsid w:val="008C3AF3"/>
    <w:rsid w:val="008C3EF9"/>
    <w:rsid w:val="008C461D"/>
    <w:rsid w:val="008C4F24"/>
    <w:rsid w:val="008C55C2"/>
    <w:rsid w:val="008C5C18"/>
    <w:rsid w:val="008C60B2"/>
    <w:rsid w:val="008C61CB"/>
    <w:rsid w:val="008C6C61"/>
    <w:rsid w:val="008D0519"/>
    <w:rsid w:val="008D1240"/>
    <w:rsid w:val="008D18BF"/>
    <w:rsid w:val="008D1B7C"/>
    <w:rsid w:val="008D1EAF"/>
    <w:rsid w:val="008D2CF4"/>
    <w:rsid w:val="008D4068"/>
    <w:rsid w:val="008D4084"/>
    <w:rsid w:val="008D4DC6"/>
    <w:rsid w:val="008D61E3"/>
    <w:rsid w:val="008D627F"/>
    <w:rsid w:val="008D6715"/>
    <w:rsid w:val="008D7782"/>
    <w:rsid w:val="008D787E"/>
    <w:rsid w:val="008D78CF"/>
    <w:rsid w:val="008D79D8"/>
    <w:rsid w:val="008D7E12"/>
    <w:rsid w:val="008D7FEB"/>
    <w:rsid w:val="008E0127"/>
    <w:rsid w:val="008E0572"/>
    <w:rsid w:val="008E2CED"/>
    <w:rsid w:val="008E2EF3"/>
    <w:rsid w:val="008E3208"/>
    <w:rsid w:val="008E3AD8"/>
    <w:rsid w:val="008E3CF5"/>
    <w:rsid w:val="008E4221"/>
    <w:rsid w:val="008E4335"/>
    <w:rsid w:val="008E5840"/>
    <w:rsid w:val="008E5D1F"/>
    <w:rsid w:val="008E6863"/>
    <w:rsid w:val="008E757D"/>
    <w:rsid w:val="008E7965"/>
    <w:rsid w:val="008F0E1C"/>
    <w:rsid w:val="008F0F67"/>
    <w:rsid w:val="008F12F3"/>
    <w:rsid w:val="008F23A8"/>
    <w:rsid w:val="008F29AF"/>
    <w:rsid w:val="008F3798"/>
    <w:rsid w:val="008F41D2"/>
    <w:rsid w:val="008F5026"/>
    <w:rsid w:val="008F5409"/>
    <w:rsid w:val="008F5FF7"/>
    <w:rsid w:val="008F6528"/>
    <w:rsid w:val="008F66A2"/>
    <w:rsid w:val="008F6EE3"/>
    <w:rsid w:val="008F7018"/>
    <w:rsid w:val="00900992"/>
    <w:rsid w:val="00900EB4"/>
    <w:rsid w:val="009011DF"/>
    <w:rsid w:val="00901C40"/>
    <w:rsid w:val="009034BF"/>
    <w:rsid w:val="00904016"/>
    <w:rsid w:val="00904355"/>
    <w:rsid w:val="00904843"/>
    <w:rsid w:val="0090557C"/>
    <w:rsid w:val="009057E2"/>
    <w:rsid w:val="0090611C"/>
    <w:rsid w:val="00907005"/>
    <w:rsid w:val="00907370"/>
    <w:rsid w:val="009073D2"/>
    <w:rsid w:val="0090742F"/>
    <w:rsid w:val="0091099F"/>
    <w:rsid w:val="00910A84"/>
    <w:rsid w:val="00910A98"/>
    <w:rsid w:val="009112D8"/>
    <w:rsid w:val="00912096"/>
    <w:rsid w:val="00913359"/>
    <w:rsid w:val="00913545"/>
    <w:rsid w:val="00913FDF"/>
    <w:rsid w:val="0091516C"/>
    <w:rsid w:val="00915675"/>
    <w:rsid w:val="00915786"/>
    <w:rsid w:val="009157C3"/>
    <w:rsid w:val="00915D90"/>
    <w:rsid w:val="009166E9"/>
    <w:rsid w:val="00916971"/>
    <w:rsid w:val="00916D52"/>
    <w:rsid w:val="00916D58"/>
    <w:rsid w:val="0092022A"/>
    <w:rsid w:val="0092067A"/>
    <w:rsid w:val="00921021"/>
    <w:rsid w:val="00922434"/>
    <w:rsid w:val="0092275E"/>
    <w:rsid w:val="00922929"/>
    <w:rsid w:val="009229F7"/>
    <w:rsid w:val="00922DE0"/>
    <w:rsid w:val="0092384C"/>
    <w:rsid w:val="00923943"/>
    <w:rsid w:val="009240D8"/>
    <w:rsid w:val="00927225"/>
    <w:rsid w:val="00927F06"/>
    <w:rsid w:val="009300A6"/>
    <w:rsid w:val="00930841"/>
    <w:rsid w:val="00931211"/>
    <w:rsid w:val="00931D6A"/>
    <w:rsid w:val="0093303F"/>
    <w:rsid w:val="009341D1"/>
    <w:rsid w:val="00934A2F"/>
    <w:rsid w:val="00935193"/>
    <w:rsid w:val="00937E69"/>
    <w:rsid w:val="009401B2"/>
    <w:rsid w:val="00940589"/>
    <w:rsid w:val="00941299"/>
    <w:rsid w:val="00941D9F"/>
    <w:rsid w:val="0094216A"/>
    <w:rsid w:val="00943305"/>
    <w:rsid w:val="0094515D"/>
    <w:rsid w:val="009452BE"/>
    <w:rsid w:val="0094539D"/>
    <w:rsid w:val="0094604A"/>
    <w:rsid w:val="00947D94"/>
    <w:rsid w:val="0095037E"/>
    <w:rsid w:val="0095148F"/>
    <w:rsid w:val="009516D5"/>
    <w:rsid w:val="009516F8"/>
    <w:rsid w:val="00951753"/>
    <w:rsid w:val="00951828"/>
    <w:rsid w:val="0095262A"/>
    <w:rsid w:val="00953E75"/>
    <w:rsid w:val="00954D5F"/>
    <w:rsid w:val="00954F14"/>
    <w:rsid w:val="00954F5E"/>
    <w:rsid w:val="00955680"/>
    <w:rsid w:val="0095603A"/>
    <w:rsid w:val="009560D8"/>
    <w:rsid w:val="009576AD"/>
    <w:rsid w:val="00957EC9"/>
    <w:rsid w:val="00960F40"/>
    <w:rsid w:val="00961429"/>
    <w:rsid w:val="009615D9"/>
    <w:rsid w:val="00962744"/>
    <w:rsid w:val="00962AD5"/>
    <w:rsid w:val="009631ED"/>
    <w:rsid w:val="00963C05"/>
    <w:rsid w:val="009640C3"/>
    <w:rsid w:val="00964425"/>
    <w:rsid w:val="0096478F"/>
    <w:rsid w:val="00965252"/>
    <w:rsid w:val="0096556B"/>
    <w:rsid w:val="009657F3"/>
    <w:rsid w:val="0096593D"/>
    <w:rsid w:val="00965FD4"/>
    <w:rsid w:val="00966124"/>
    <w:rsid w:val="00966CD8"/>
    <w:rsid w:val="009677B1"/>
    <w:rsid w:val="009677BC"/>
    <w:rsid w:val="00967859"/>
    <w:rsid w:val="0096795C"/>
    <w:rsid w:val="009708AD"/>
    <w:rsid w:val="00970CE9"/>
    <w:rsid w:val="009715E8"/>
    <w:rsid w:val="009718C7"/>
    <w:rsid w:val="00971E32"/>
    <w:rsid w:val="00972621"/>
    <w:rsid w:val="009741E1"/>
    <w:rsid w:val="009744FA"/>
    <w:rsid w:val="0097507F"/>
    <w:rsid w:val="00975201"/>
    <w:rsid w:val="009756E0"/>
    <w:rsid w:val="00975C44"/>
    <w:rsid w:val="00975DDE"/>
    <w:rsid w:val="00976AE6"/>
    <w:rsid w:val="00976F63"/>
    <w:rsid w:val="0097756C"/>
    <w:rsid w:val="00977DA9"/>
    <w:rsid w:val="00980D88"/>
    <w:rsid w:val="00980E04"/>
    <w:rsid w:val="00981801"/>
    <w:rsid w:val="00981955"/>
    <w:rsid w:val="00981B85"/>
    <w:rsid w:val="00981E23"/>
    <w:rsid w:val="0098215E"/>
    <w:rsid w:val="009829D6"/>
    <w:rsid w:val="00982DBF"/>
    <w:rsid w:val="00983021"/>
    <w:rsid w:val="00984AC0"/>
    <w:rsid w:val="00986639"/>
    <w:rsid w:val="009866CA"/>
    <w:rsid w:val="00986DE5"/>
    <w:rsid w:val="009902A4"/>
    <w:rsid w:val="00990543"/>
    <w:rsid w:val="009917EF"/>
    <w:rsid w:val="0099203B"/>
    <w:rsid w:val="0099244B"/>
    <w:rsid w:val="00992554"/>
    <w:rsid w:val="009926A8"/>
    <w:rsid w:val="009940CB"/>
    <w:rsid w:val="009951BB"/>
    <w:rsid w:val="0099530F"/>
    <w:rsid w:val="00995369"/>
    <w:rsid w:val="00995C0F"/>
    <w:rsid w:val="009965D9"/>
    <w:rsid w:val="00996BCF"/>
    <w:rsid w:val="00997A4E"/>
    <w:rsid w:val="009A131A"/>
    <w:rsid w:val="009A1740"/>
    <w:rsid w:val="009A1A13"/>
    <w:rsid w:val="009A1E16"/>
    <w:rsid w:val="009A1EC5"/>
    <w:rsid w:val="009A2A00"/>
    <w:rsid w:val="009A3B4B"/>
    <w:rsid w:val="009A3B59"/>
    <w:rsid w:val="009A5FFE"/>
    <w:rsid w:val="009A6229"/>
    <w:rsid w:val="009A6792"/>
    <w:rsid w:val="009A6978"/>
    <w:rsid w:val="009A724B"/>
    <w:rsid w:val="009A749F"/>
    <w:rsid w:val="009A7AE7"/>
    <w:rsid w:val="009A7D67"/>
    <w:rsid w:val="009B046A"/>
    <w:rsid w:val="009B088B"/>
    <w:rsid w:val="009B0C92"/>
    <w:rsid w:val="009B0E17"/>
    <w:rsid w:val="009B1992"/>
    <w:rsid w:val="009B1E20"/>
    <w:rsid w:val="009B2460"/>
    <w:rsid w:val="009B2BEC"/>
    <w:rsid w:val="009B2D1F"/>
    <w:rsid w:val="009B2F35"/>
    <w:rsid w:val="009B35D2"/>
    <w:rsid w:val="009B38B3"/>
    <w:rsid w:val="009B39B2"/>
    <w:rsid w:val="009B5A59"/>
    <w:rsid w:val="009B624F"/>
    <w:rsid w:val="009B62AA"/>
    <w:rsid w:val="009B6880"/>
    <w:rsid w:val="009B6A62"/>
    <w:rsid w:val="009B6E28"/>
    <w:rsid w:val="009B7063"/>
    <w:rsid w:val="009B70AF"/>
    <w:rsid w:val="009B784B"/>
    <w:rsid w:val="009C0672"/>
    <w:rsid w:val="009C212E"/>
    <w:rsid w:val="009C2595"/>
    <w:rsid w:val="009C2C4E"/>
    <w:rsid w:val="009C3295"/>
    <w:rsid w:val="009C479B"/>
    <w:rsid w:val="009C53B5"/>
    <w:rsid w:val="009C58DD"/>
    <w:rsid w:val="009C5D87"/>
    <w:rsid w:val="009C6B36"/>
    <w:rsid w:val="009C7C1F"/>
    <w:rsid w:val="009C7D67"/>
    <w:rsid w:val="009C7D80"/>
    <w:rsid w:val="009C7E09"/>
    <w:rsid w:val="009D0E0A"/>
    <w:rsid w:val="009D15E1"/>
    <w:rsid w:val="009D26B6"/>
    <w:rsid w:val="009D289D"/>
    <w:rsid w:val="009D2BC7"/>
    <w:rsid w:val="009D3CEB"/>
    <w:rsid w:val="009D3F35"/>
    <w:rsid w:val="009D49DB"/>
    <w:rsid w:val="009D4C01"/>
    <w:rsid w:val="009D5414"/>
    <w:rsid w:val="009D6197"/>
    <w:rsid w:val="009D66EE"/>
    <w:rsid w:val="009D6734"/>
    <w:rsid w:val="009D7784"/>
    <w:rsid w:val="009D7873"/>
    <w:rsid w:val="009E03D1"/>
    <w:rsid w:val="009E083F"/>
    <w:rsid w:val="009E0E2D"/>
    <w:rsid w:val="009E17E6"/>
    <w:rsid w:val="009E18CB"/>
    <w:rsid w:val="009E20AF"/>
    <w:rsid w:val="009E2B99"/>
    <w:rsid w:val="009E2FDA"/>
    <w:rsid w:val="009E46A2"/>
    <w:rsid w:val="009E5505"/>
    <w:rsid w:val="009E5F01"/>
    <w:rsid w:val="009E6107"/>
    <w:rsid w:val="009E742F"/>
    <w:rsid w:val="009E7954"/>
    <w:rsid w:val="009E7C32"/>
    <w:rsid w:val="009E7EF6"/>
    <w:rsid w:val="009F0238"/>
    <w:rsid w:val="009F0449"/>
    <w:rsid w:val="009F0482"/>
    <w:rsid w:val="009F0A63"/>
    <w:rsid w:val="009F1758"/>
    <w:rsid w:val="009F18F6"/>
    <w:rsid w:val="009F26B6"/>
    <w:rsid w:val="009F3418"/>
    <w:rsid w:val="009F6CC0"/>
    <w:rsid w:val="009F6E4C"/>
    <w:rsid w:val="009F76FE"/>
    <w:rsid w:val="00A001EA"/>
    <w:rsid w:val="00A007D9"/>
    <w:rsid w:val="00A00814"/>
    <w:rsid w:val="00A00F13"/>
    <w:rsid w:val="00A01081"/>
    <w:rsid w:val="00A013B5"/>
    <w:rsid w:val="00A02F18"/>
    <w:rsid w:val="00A03A5F"/>
    <w:rsid w:val="00A040F8"/>
    <w:rsid w:val="00A045DC"/>
    <w:rsid w:val="00A051C1"/>
    <w:rsid w:val="00A05879"/>
    <w:rsid w:val="00A065C4"/>
    <w:rsid w:val="00A101AB"/>
    <w:rsid w:val="00A10C69"/>
    <w:rsid w:val="00A128A7"/>
    <w:rsid w:val="00A129D9"/>
    <w:rsid w:val="00A14121"/>
    <w:rsid w:val="00A147BB"/>
    <w:rsid w:val="00A14895"/>
    <w:rsid w:val="00A148AD"/>
    <w:rsid w:val="00A14AB5"/>
    <w:rsid w:val="00A15473"/>
    <w:rsid w:val="00A159E2"/>
    <w:rsid w:val="00A16871"/>
    <w:rsid w:val="00A16C57"/>
    <w:rsid w:val="00A21486"/>
    <w:rsid w:val="00A21943"/>
    <w:rsid w:val="00A21E50"/>
    <w:rsid w:val="00A22047"/>
    <w:rsid w:val="00A222FF"/>
    <w:rsid w:val="00A2246B"/>
    <w:rsid w:val="00A22B3A"/>
    <w:rsid w:val="00A22C87"/>
    <w:rsid w:val="00A22F18"/>
    <w:rsid w:val="00A23AF0"/>
    <w:rsid w:val="00A2477F"/>
    <w:rsid w:val="00A24C96"/>
    <w:rsid w:val="00A25255"/>
    <w:rsid w:val="00A255C6"/>
    <w:rsid w:val="00A25E50"/>
    <w:rsid w:val="00A260A0"/>
    <w:rsid w:val="00A27AD9"/>
    <w:rsid w:val="00A27D42"/>
    <w:rsid w:val="00A27DC4"/>
    <w:rsid w:val="00A3027F"/>
    <w:rsid w:val="00A303B6"/>
    <w:rsid w:val="00A3063D"/>
    <w:rsid w:val="00A30A93"/>
    <w:rsid w:val="00A30F36"/>
    <w:rsid w:val="00A322BD"/>
    <w:rsid w:val="00A3250C"/>
    <w:rsid w:val="00A32B24"/>
    <w:rsid w:val="00A32D8C"/>
    <w:rsid w:val="00A3332D"/>
    <w:rsid w:val="00A3418C"/>
    <w:rsid w:val="00A35110"/>
    <w:rsid w:val="00A352A1"/>
    <w:rsid w:val="00A3585A"/>
    <w:rsid w:val="00A366D1"/>
    <w:rsid w:val="00A36909"/>
    <w:rsid w:val="00A37200"/>
    <w:rsid w:val="00A413AA"/>
    <w:rsid w:val="00A42DBC"/>
    <w:rsid w:val="00A438C6"/>
    <w:rsid w:val="00A439D5"/>
    <w:rsid w:val="00A4419E"/>
    <w:rsid w:val="00A443FF"/>
    <w:rsid w:val="00A447D3"/>
    <w:rsid w:val="00A44BB4"/>
    <w:rsid w:val="00A462A3"/>
    <w:rsid w:val="00A46380"/>
    <w:rsid w:val="00A46E1D"/>
    <w:rsid w:val="00A4713F"/>
    <w:rsid w:val="00A475DE"/>
    <w:rsid w:val="00A51B7A"/>
    <w:rsid w:val="00A52972"/>
    <w:rsid w:val="00A53D99"/>
    <w:rsid w:val="00A54119"/>
    <w:rsid w:val="00A5423D"/>
    <w:rsid w:val="00A543A5"/>
    <w:rsid w:val="00A546F0"/>
    <w:rsid w:val="00A54BE4"/>
    <w:rsid w:val="00A55B12"/>
    <w:rsid w:val="00A56034"/>
    <w:rsid w:val="00A56F79"/>
    <w:rsid w:val="00A601D1"/>
    <w:rsid w:val="00A607B4"/>
    <w:rsid w:val="00A60A5E"/>
    <w:rsid w:val="00A61804"/>
    <w:rsid w:val="00A61F2A"/>
    <w:rsid w:val="00A63761"/>
    <w:rsid w:val="00A6428E"/>
    <w:rsid w:val="00A649C7"/>
    <w:rsid w:val="00A64C25"/>
    <w:rsid w:val="00A65222"/>
    <w:rsid w:val="00A653E3"/>
    <w:rsid w:val="00A65ED5"/>
    <w:rsid w:val="00A665A7"/>
    <w:rsid w:val="00A66651"/>
    <w:rsid w:val="00A66805"/>
    <w:rsid w:val="00A672C2"/>
    <w:rsid w:val="00A70335"/>
    <w:rsid w:val="00A70659"/>
    <w:rsid w:val="00A70A09"/>
    <w:rsid w:val="00A70F58"/>
    <w:rsid w:val="00A70F86"/>
    <w:rsid w:val="00A7179B"/>
    <w:rsid w:val="00A71A5F"/>
    <w:rsid w:val="00A71E6A"/>
    <w:rsid w:val="00A72050"/>
    <w:rsid w:val="00A72332"/>
    <w:rsid w:val="00A72850"/>
    <w:rsid w:val="00A7292D"/>
    <w:rsid w:val="00A7402B"/>
    <w:rsid w:val="00A7452C"/>
    <w:rsid w:val="00A748EC"/>
    <w:rsid w:val="00A74FED"/>
    <w:rsid w:val="00A75682"/>
    <w:rsid w:val="00A75BED"/>
    <w:rsid w:val="00A769F6"/>
    <w:rsid w:val="00A76F0E"/>
    <w:rsid w:val="00A77143"/>
    <w:rsid w:val="00A7764C"/>
    <w:rsid w:val="00A77B25"/>
    <w:rsid w:val="00A77F25"/>
    <w:rsid w:val="00A801A4"/>
    <w:rsid w:val="00A813AE"/>
    <w:rsid w:val="00A81BD3"/>
    <w:rsid w:val="00A81D48"/>
    <w:rsid w:val="00A82292"/>
    <w:rsid w:val="00A83080"/>
    <w:rsid w:val="00A830B6"/>
    <w:rsid w:val="00A835F3"/>
    <w:rsid w:val="00A83C22"/>
    <w:rsid w:val="00A8429C"/>
    <w:rsid w:val="00A845FA"/>
    <w:rsid w:val="00A84979"/>
    <w:rsid w:val="00A84B83"/>
    <w:rsid w:val="00A84E83"/>
    <w:rsid w:val="00A85041"/>
    <w:rsid w:val="00A85212"/>
    <w:rsid w:val="00A85A05"/>
    <w:rsid w:val="00A85EE1"/>
    <w:rsid w:val="00A87065"/>
    <w:rsid w:val="00A87E3A"/>
    <w:rsid w:val="00A9044E"/>
    <w:rsid w:val="00A911F7"/>
    <w:rsid w:val="00A9301F"/>
    <w:rsid w:val="00A93245"/>
    <w:rsid w:val="00A933B9"/>
    <w:rsid w:val="00A94C92"/>
    <w:rsid w:val="00A954C5"/>
    <w:rsid w:val="00A95644"/>
    <w:rsid w:val="00A95835"/>
    <w:rsid w:val="00A9603C"/>
    <w:rsid w:val="00A9622B"/>
    <w:rsid w:val="00A972FA"/>
    <w:rsid w:val="00A97612"/>
    <w:rsid w:val="00A9793C"/>
    <w:rsid w:val="00AA1F22"/>
    <w:rsid w:val="00AA2697"/>
    <w:rsid w:val="00AA3715"/>
    <w:rsid w:val="00AA45F6"/>
    <w:rsid w:val="00AA61C2"/>
    <w:rsid w:val="00AA627D"/>
    <w:rsid w:val="00AA651D"/>
    <w:rsid w:val="00AA69BE"/>
    <w:rsid w:val="00AA7C40"/>
    <w:rsid w:val="00AB090A"/>
    <w:rsid w:val="00AB0CF7"/>
    <w:rsid w:val="00AB0F8B"/>
    <w:rsid w:val="00AB1F56"/>
    <w:rsid w:val="00AB1F7F"/>
    <w:rsid w:val="00AB2F79"/>
    <w:rsid w:val="00AB367B"/>
    <w:rsid w:val="00AB4CD9"/>
    <w:rsid w:val="00AB4FED"/>
    <w:rsid w:val="00AB51EB"/>
    <w:rsid w:val="00AB54D0"/>
    <w:rsid w:val="00AB5EAA"/>
    <w:rsid w:val="00AB5FAE"/>
    <w:rsid w:val="00AB61F8"/>
    <w:rsid w:val="00AB7B22"/>
    <w:rsid w:val="00AC1586"/>
    <w:rsid w:val="00AC1E21"/>
    <w:rsid w:val="00AC1F0D"/>
    <w:rsid w:val="00AC47C2"/>
    <w:rsid w:val="00AC5143"/>
    <w:rsid w:val="00AC60AE"/>
    <w:rsid w:val="00AC683A"/>
    <w:rsid w:val="00AC6A60"/>
    <w:rsid w:val="00AC6AF7"/>
    <w:rsid w:val="00AC7463"/>
    <w:rsid w:val="00AC74AA"/>
    <w:rsid w:val="00AC7511"/>
    <w:rsid w:val="00AD093E"/>
    <w:rsid w:val="00AD0C9E"/>
    <w:rsid w:val="00AD109F"/>
    <w:rsid w:val="00AD1BAB"/>
    <w:rsid w:val="00AD2598"/>
    <w:rsid w:val="00AD2DB3"/>
    <w:rsid w:val="00AD3299"/>
    <w:rsid w:val="00AD4466"/>
    <w:rsid w:val="00AD47B6"/>
    <w:rsid w:val="00AD67E8"/>
    <w:rsid w:val="00AE00A2"/>
    <w:rsid w:val="00AE0C14"/>
    <w:rsid w:val="00AE1347"/>
    <w:rsid w:val="00AE38D4"/>
    <w:rsid w:val="00AE423D"/>
    <w:rsid w:val="00AE54F6"/>
    <w:rsid w:val="00AE6AF6"/>
    <w:rsid w:val="00AE7144"/>
    <w:rsid w:val="00AE7B55"/>
    <w:rsid w:val="00AF0D66"/>
    <w:rsid w:val="00AF10AA"/>
    <w:rsid w:val="00AF137B"/>
    <w:rsid w:val="00AF2269"/>
    <w:rsid w:val="00AF25FE"/>
    <w:rsid w:val="00AF27C4"/>
    <w:rsid w:val="00AF3041"/>
    <w:rsid w:val="00AF31FD"/>
    <w:rsid w:val="00AF35A5"/>
    <w:rsid w:val="00AF47FF"/>
    <w:rsid w:val="00AF4A5E"/>
    <w:rsid w:val="00AF530F"/>
    <w:rsid w:val="00AF57B1"/>
    <w:rsid w:val="00AF5A65"/>
    <w:rsid w:val="00AF5AB7"/>
    <w:rsid w:val="00AF5C06"/>
    <w:rsid w:val="00AF63BB"/>
    <w:rsid w:val="00AF67EB"/>
    <w:rsid w:val="00AF697A"/>
    <w:rsid w:val="00AF72BE"/>
    <w:rsid w:val="00AF7EE3"/>
    <w:rsid w:val="00B00917"/>
    <w:rsid w:val="00B01B90"/>
    <w:rsid w:val="00B01E10"/>
    <w:rsid w:val="00B02125"/>
    <w:rsid w:val="00B0357D"/>
    <w:rsid w:val="00B0367E"/>
    <w:rsid w:val="00B03FBA"/>
    <w:rsid w:val="00B04D6E"/>
    <w:rsid w:val="00B04E1B"/>
    <w:rsid w:val="00B05AFA"/>
    <w:rsid w:val="00B066C6"/>
    <w:rsid w:val="00B079CC"/>
    <w:rsid w:val="00B07F89"/>
    <w:rsid w:val="00B108C5"/>
    <w:rsid w:val="00B115AE"/>
    <w:rsid w:val="00B11817"/>
    <w:rsid w:val="00B122D4"/>
    <w:rsid w:val="00B12375"/>
    <w:rsid w:val="00B13069"/>
    <w:rsid w:val="00B13339"/>
    <w:rsid w:val="00B140A8"/>
    <w:rsid w:val="00B15AB0"/>
    <w:rsid w:val="00B16BD2"/>
    <w:rsid w:val="00B16EF3"/>
    <w:rsid w:val="00B2004C"/>
    <w:rsid w:val="00B20411"/>
    <w:rsid w:val="00B20B6A"/>
    <w:rsid w:val="00B20C21"/>
    <w:rsid w:val="00B21D78"/>
    <w:rsid w:val="00B21FCF"/>
    <w:rsid w:val="00B22254"/>
    <w:rsid w:val="00B232A3"/>
    <w:rsid w:val="00B23557"/>
    <w:rsid w:val="00B23BF2"/>
    <w:rsid w:val="00B23D9F"/>
    <w:rsid w:val="00B24141"/>
    <w:rsid w:val="00B2416D"/>
    <w:rsid w:val="00B24C6B"/>
    <w:rsid w:val="00B24CEA"/>
    <w:rsid w:val="00B26539"/>
    <w:rsid w:val="00B2741F"/>
    <w:rsid w:val="00B2779A"/>
    <w:rsid w:val="00B278F5"/>
    <w:rsid w:val="00B27AAF"/>
    <w:rsid w:val="00B27ABF"/>
    <w:rsid w:val="00B307ED"/>
    <w:rsid w:val="00B30DA1"/>
    <w:rsid w:val="00B310AE"/>
    <w:rsid w:val="00B311C6"/>
    <w:rsid w:val="00B31BBC"/>
    <w:rsid w:val="00B3221F"/>
    <w:rsid w:val="00B34742"/>
    <w:rsid w:val="00B34A65"/>
    <w:rsid w:val="00B34E56"/>
    <w:rsid w:val="00B34F8B"/>
    <w:rsid w:val="00B35845"/>
    <w:rsid w:val="00B3584A"/>
    <w:rsid w:val="00B36379"/>
    <w:rsid w:val="00B4088D"/>
    <w:rsid w:val="00B40BE5"/>
    <w:rsid w:val="00B40CB4"/>
    <w:rsid w:val="00B415F3"/>
    <w:rsid w:val="00B4208C"/>
    <w:rsid w:val="00B42382"/>
    <w:rsid w:val="00B423C9"/>
    <w:rsid w:val="00B425C6"/>
    <w:rsid w:val="00B42AC8"/>
    <w:rsid w:val="00B437CB"/>
    <w:rsid w:val="00B44107"/>
    <w:rsid w:val="00B441B7"/>
    <w:rsid w:val="00B44267"/>
    <w:rsid w:val="00B44620"/>
    <w:rsid w:val="00B446CB"/>
    <w:rsid w:val="00B44AF0"/>
    <w:rsid w:val="00B45576"/>
    <w:rsid w:val="00B459D1"/>
    <w:rsid w:val="00B47367"/>
    <w:rsid w:val="00B511B4"/>
    <w:rsid w:val="00B51B45"/>
    <w:rsid w:val="00B51EA3"/>
    <w:rsid w:val="00B52751"/>
    <w:rsid w:val="00B52912"/>
    <w:rsid w:val="00B53288"/>
    <w:rsid w:val="00B54408"/>
    <w:rsid w:val="00B55153"/>
    <w:rsid w:val="00B55883"/>
    <w:rsid w:val="00B55D9D"/>
    <w:rsid w:val="00B562DB"/>
    <w:rsid w:val="00B567CF"/>
    <w:rsid w:val="00B56D75"/>
    <w:rsid w:val="00B608AB"/>
    <w:rsid w:val="00B61341"/>
    <w:rsid w:val="00B61A25"/>
    <w:rsid w:val="00B63FEC"/>
    <w:rsid w:val="00B648FE"/>
    <w:rsid w:val="00B64A21"/>
    <w:rsid w:val="00B6506F"/>
    <w:rsid w:val="00B65180"/>
    <w:rsid w:val="00B65380"/>
    <w:rsid w:val="00B65AF5"/>
    <w:rsid w:val="00B6636D"/>
    <w:rsid w:val="00B664B2"/>
    <w:rsid w:val="00B6680A"/>
    <w:rsid w:val="00B6686A"/>
    <w:rsid w:val="00B67A4E"/>
    <w:rsid w:val="00B67B9C"/>
    <w:rsid w:val="00B700A9"/>
    <w:rsid w:val="00B704B6"/>
    <w:rsid w:val="00B720E7"/>
    <w:rsid w:val="00B72725"/>
    <w:rsid w:val="00B72940"/>
    <w:rsid w:val="00B729B7"/>
    <w:rsid w:val="00B731A1"/>
    <w:rsid w:val="00B73417"/>
    <w:rsid w:val="00B743B6"/>
    <w:rsid w:val="00B75178"/>
    <w:rsid w:val="00B752EF"/>
    <w:rsid w:val="00B755CF"/>
    <w:rsid w:val="00B75889"/>
    <w:rsid w:val="00B75927"/>
    <w:rsid w:val="00B76606"/>
    <w:rsid w:val="00B76A9F"/>
    <w:rsid w:val="00B76DC1"/>
    <w:rsid w:val="00B800F9"/>
    <w:rsid w:val="00B809F2"/>
    <w:rsid w:val="00B811D5"/>
    <w:rsid w:val="00B81344"/>
    <w:rsid w:val="00B82C1F"/>
    <w:rsid w:val="00B83875"/>
    <w:rsid w:val="00B8491C"/>
    <w:rsid w:val="00B8507E"/>
    <w:rsid w:val="00B86009"/>
    <w:rsid w:val="00B863F2"/>
    <w:rsid w:val="00B86794"/>
    <w:rsid w:val="00B87B5D"/>
    <w:rsid w:val="00B87F8B"/>
    <w:rsid w:val="00B9052F"/>
    <w:rsid w:val="00B913C4"/>
    <w:rsid w:val="00B92560"/>
    <w:rsid w:val="00B92DEA"/>
    <w:rsid w:val="00B93F6D"/>
    <w:rsid w:val="00B94863"/>
    <w:rsid w:val="00B951E5"/>
    <w:rsid w:val="00B95E05"/>
    <w:rsid w:val="00B971C6"/>
    <w:rsid w:val="00B97A5F"/>
    <w:rsid w:val="00B97AD1"/>
    <w:rsid w:val="00BA0293"/>
    <w:rsid w:val="00BA099B"/>
    <w:rsid w:val="00BA0C68"/>
    <w:rsid w:val="00BA1027"/>
    <w:rsid w:val="00BA1109"/>
    <w:rsid w:val="00BA118D"/>
    <w:rsid w:val="00BA1446"/>
    <w:rsid w:val="00BA16C9"/>
    <w:rsid w:val="00BA230E"/>
    <w:rsid w:val="00BA2B8F"/>
    <w:rsid w:val="00BA3B00"/>
    <w:rsid w:val="00BA46D9"/>
    <w:rsid w:val="00BA57D8"/>
    <w:rsid w:val="00BA6274"/>
    <w:rsid w:val="00BA66B9"/>
    <w:rsid w:val="00BA7CF9"/>
    <w:rsid w:val="00BB0237"/>
    <w:rsid w:val="00BB1727"/>
    <w:rsid w:val="00BB1A58"/>
    <w:rsid w:val="00BB219B"/>
    <w:rsid w:val="00BB261F"/>
    <w:rsid w:val="00BB36ED"/>
    <w:rsid w:val="00BB456F"/>
    <w:rsid w:val="00BB4DC1"/>
    <w:rsid w:val="00BB66F2"/>
    <w:rsid w:val="00BB68B5"/>
    <w:rsid w:val="00BB78D8"/>
    <w:rsid w:val="00BB7944"/>
    <w:rsid w:val="00BB7C3A"/>
    <w:rsid w:val="00BC034A"/>
    <w:rsid w:val="00BC03EC"/>
    <w:rsid w:val="00BC0503"/>
    <w:rsid w:val="00BC0514"/>
    <w:rsid w:val="00BC11B5"/>
    <w:rsid w:val="00BC1541"/>
    <w:rsid w:val="00BC16B8"/>
    <w:rsid w:val="00BC16F6"/>
    <w:rsid w:val="00BC1C84"/>
    <w:rsid w:val="00BC208E"/>
    <w:rsid w:val="00BC2301"/>
    <w:rsid w:val="00BC254C"/>
    <w:rsid w:val="00BC2CAE"/>
    <w:rsid w:val="00BC43B9"/>
    <w:rsid w:val="00BC48C0"/>
    <w:rsid w:val="00BC52D1"/>
    <w:rsid w:val="00BC7A6F"/>
    <w:rsid w:val="00BC7B1F"/>
    <w:rsid w:val="00BD000B"/>
    <w:rsid w:val="00BD0C58"/>
    <w:rsid w:val="00BD11CB"/>
    <w:rsid w:val="00BD1AB7"/>
    <w:rsid w:val="00BD2955"/>
    <w:rsid w:val="00BD2B75"/>
    <w:rsid w:val="00BD322D"/>
    <w:rsid w:val="00BD3C79"/>
    <w:rsid w:val="00BD3E09"/>
    <w:rsid w:val="00BD4294"/>
    <w:rsid w:val="00BD499C"/>
    <w:rsid w:val="00BD4FE5"/>
    <w:rsid w:val="00BD52CF"/>
    <w:rsid w:val="00BD53E7"/>
    <w:rsid w:val="00BD5F9D"/>
    <w:rsid w:val="00BD683F"/>
    <w:rsid w:val="00BD795F"/>
    <w:rsid w:val="00BD7EA7"/>
    <w:rsid w:val="00BD7F83"/>
    <w:rsid w:val="00BD7F87"/>
    <w:rsid w:val="00BE0AFA"/>
    <w:rsid w:val="00BE10C6"/>
    <w:rsid w:val="00BE130B"/>
    <w:rsid w:val="00BE1D23"/>
    <w:rsid w:val="00BE1F2B"/>
    <w:rsid w:val="00BE2741"/>
    <w:rsid w:val="00BE2C9A"/>
    <w:rsid w:val="00BE2D43"/>
    <w:rsid w:val="00BE39A1"/>
    <w:rsid w:val="00BE49A6"/>
    <w:rsid w:val="00BE4ABF"/>
    <w:rsid w:val="00BE4CF0"/>
    <w:rsid w:val="00BE5A9E"/>
    <w:rsid w:val="00BE613C"/>
    <w:rsid w:val="00BE7172"/>
    <w:rsid w:val="00BE778B"/>
    <w:rsid w:val="00BF011B"/>
    <w:rsid w:val="00BF1CFC"/>
    <w:rsid w:val="00BF1FE6"/>
    <w:rsid w:val="00BF3434"/>
    <w:rsid w:val="00BF3C44"/>
    <w:rsid w:val="00BF3C8F"/>
    <w:rsid w:val="00BF5596"/>
    <w:rsid w:val="00BF5B6A"/>
    <w:rsid w:val="00BF5F21"/>
    <w:rsid w:val="00BF72F5"/>
    <w:rsid w:val="00BF751B"/>
    <w:rsid w:val="00BF7689"/>
    <w:rsid w:val="00BF7B48"/>
    <w:rsid w:val="00C00E8F"/>
    <w:rsid w:val="00C01620"/>
    <w:rsid w:val="00C02439"/>
    <w:rsid w:val="00C02647"/>
    <w:rsid w:val="00C02EC9"/>
    <w:rsid w:val="00C041DA"/>
    <w:rsid w:val="00C04662"/>
    <w:rsid w:val="00C04A1A"/>
    <w:rsid w:val="00C05035"/>
    <w:rsid w:val="00C05DF2"/>
    <w:rsid w:val="00C0681A"/>
    <w:rsid w:val="00C103CF"/>
    <w:rsid w:val="00C113CD"/>
    <w:rsid w:val="00C11537"/>
    <w:rsid w:val="00C117E1"/>
    <w:rsid w:val="00C11C58"/>
    <w:rsid w:val="00C12415"/>
    <w:rsid w:val="00C12A81"/>
    <w:rsid w:val="00C12F45"/>
    <w:rsid w:val="00C1428B"/>
    <w:rsid w:val="00C1676E"/>
    <w:rsid w:val="00C175CC"/>
    <w:rsid w:val="00C17C51"/>
    <w:rsid w:val="00C201F7"/>
    <w:rsid w:val="00C20E83"/>
    <w:rsid w:val="00C222CE"/>
    <w:rsid w:val="00C22F5F"/>
    <w:rsid w:val="00C23855"/>
    <w:rsid w:val="00C2403B"/>
    <w:rsid w:val="00C25AA0"/>
    <w:rsid w:val="00C25C4C"/>
    <w:rsid w:val="00C25E5F"/>
    <w:rsid w:val="00C263D7"/>
    <w:rsid w:val="00C27125"/>
    <w:rsid w:val="00C271A7"/>
    <w:rsid w:val="00C27293"/>
    <w:rsid w:val="00C276FA"/>
    <w:rsid w:val="00C27701"/>
    <w:rsid w:val="00C27B81"/>
    <w:rsid w:val="00C3098D"/>
    <w:rsid w:val="00C30ED7"/>
    <w:rsid w:val="00C32604"/>
    <w:rsid w:val="00C3267D"/>
    <w:rsid w:val="00C32BB5"/>
    <w:rsid w:val="00C32D9E"/>
    <w:rsid w:val="00C332BE"/>
    <w:rsid w:val="00C33A75"/>
    <w:rsid w:val="00C34781"/>
    <w:rsid w:val="00C34847"/>
    <w:rsid w:val="00C34A21"/>
    <w:rsid w:val="00C350C6"/>
    <w:rsid w:val="00C36521"/>
    <w:rsid w:val="00C37A70"/>
    <w:rsid w:val="00C37C40"/>
    <w:rsid w:val="00C40007"/>
    <w:rsid w:val="00C407B8"/>
    <w:rsid w:val="00C409EF"/>
    <w:rsid w:val="00C41573"/>
    <w:rsid w:val="00C41B0E"/>
    <w:rsid w:val="00C4203F"/>
    <w:rsid w:val="00C4238B"/>
    <w:rsid w:val="00C42799"/>
    <w:rsid w:val="00C42A04"/>
    <w:rsid w:val="00C43106"/>
    <w:rsid w:val="00C4437C"/>
    <w:rsid w:val="00C44EA9"/>
    <w:rsid w:val="00C450D1"/>
    <w:rsid w:val="00C45185"/>
    <w:rsid w:val="00C458AA"/>
    <w:rsid w:val="00C460B3"/>
    <w:rsid w:val="00C46319"/>
    <w:rsid w:val="00C465D1"/>
    <w:rsid w:val="00C466B7"/>
    <w:rsid w:val="00C46B59"/>
    <w:rsid w:val="00C475F4"/>
    <w:rsid w:val="00C509A0"/>
    <w:rsid w:val="00C50B00"/>
    <w:rsid w:val="00C50D5B"/>
    <w:rsid w:val="00C51513"/>
    <w:rsid w:val="00C51753"/>
    <w:rsid w:val="00C52E4A"/>
    <w:rsid w:val="00C53C86"/>
    <w:rsid w:val="00C54C11"/>
    <w:rsid w:val="00C54E0D"/>
    <w:rsid w:val="00C54F77"/>
    <w:rsid w:val="00C55A12"/>
    <w:rsid w:val="00C55BE1"/>
    <w:rsid w:val="00C560B0"/>
    <w:rsid w:val="00C562A1"/>
    <w:rsid w:val="00C5655B"/>
    <w:rsid w:val="00C56724"/>
    <w:rsid w:val="00C5696F"/>
    <w:rsid w:val="00C57B9B"/>
    <w:rsid w:val="00C57E50"/>
    <w:rsid w:val="00C60EEF"/>
    <w:rsid w:val="00C62422"/>
    <w:rsid w:val="00C6300D"/>
    <w:rsid w:val="00C63B24"/>
    <w:rsid w:val="00C64D54"/>
    <w:rsid w:val="00C657D4"/>
    <w:rsid w:val="00C65AD0"/>
    <w:rsid w:val="00C65C4B"/>
    <w:rsid w:val="00C66DAD"/>
    <w:rsid w:val="00C674CD"/>
    <w:rsid w:val="00C702CF"/>
    <w:rsid w:val="00C7049D"/>
    <w:rsid w:val="00C7157C"/>
    <w:rsid w:val="00C717FA"/>
    <w:rsid w:val="00C723B0"/>
    <w:rsid w:val="00C72C2C"/>
    <w:rsid w:val="00C73144"/>
    <w:rsid w:val="00C732FE"/>
    <w:rsid w:val="00C7371D"/>
    <w:rsid w:val="00C73C5C"/>
    <w:rsid w:val="00C74AE3"/>
    <w:rsid w:val="00C76F9B"/>
    <w:rsid w:val="00C77463"/>
    <w:rsid w:val="00C80338"/>
    <w:rsid w:val="00C81C0C"/>
    <w:rsid w:val="00C82114"/>
    <w:rsid w:val="00C82F20"/>
    <w:rsid w:val="00C83556"/>
    <w:rsid w:val="00C847FF"/>
    <w:rsid w:val="00C85B40"/>
    <w:rsid w:val="00C86AF5"/>
    <w:rsid w:val="00C87C26"/>
    <w:rsid w:val="00C87C5B"/>
    <w:rsid w:val="00C9020F"/>
    <w:rsid w:val="00C9039C"/>
    <w:rsid w:val="00C91937"/>
    <w:rsid w:val="00C91CDE"/>
    <w:rsid w:val="00C92CC1"/>
    <w:rsid w:val="00C92DF8"/>
    <w:rsid w:val="00C93C71"/>
    <w:rsid w:val="00C945A0"/>
    <w:rsid w:val="00C94B17"/>
    <w:rsid w:val="00C9624A"/>
    <w:rsid w:val="00C96BC6"/>
    <w:rsid w:val="00C96DD8"/>
    <w:rsid w:val="00C97380"/>
    <w:rsid w:val="00C97425"/>
    <w:rsid w:val="00CA02A5"/>
    <w:rsid w:val="00CA0AF8"/>
    <w:rsid w:val="00CA19F0"/>
    <w:rsid w:val="00CA1DCB"/>
    <w:rsid w:val="00CA2D60"/>
    <w:rsid w:val="00CA2F8F"/>
    <w:rsid w:val="00CA374B"/>
    <w:rsid w:val="00CA3BD0"/>
    <w:rsid w:val="00CA58A7"/>
    <w:rsid w:val="00CA5A2D"/>
    <w:rsid w:val="00CA6129"/>
    <w:rsid w:val="00CA7193"/>
    <w:rsid w:val="00CA78CB"/>
    <w:rsid w:val="00CB141D"/>
    <w:rsid w:val="00CB1435"/>
    <w:rsid w:val="00CB1F11"/>
    <w:rsid w:val="00CB1F16"/>
    <w:rsid w:val="00CB2A43"/>
    <w:rsid w:val="00CB2DF1"/>
    <w:rsid w:val="00CB326F"/>
    <w:rsid w:val="00CB3683"/>
    <w:rsid w:val="00CB3ABC"/>
    <w:rsid w:val="00CB46C4"/>
    <w:rsid w:val="00CB500C"/>
    <w:rsid w:val="00CB5258"/>
    <w:rsid w:val="00CB75C6"/>
    <w:rsid w:val="00CB7828"/>
    <w:rsid w:val="00CB7CD7"/>
    <w:rsid w:val="00CB7EC5"/>
    <w:rsid w:val="00CC00B5"/>
    <w:rsid w:val="00CC01D6"/>
    <w:rsid w:val="00CC2163"/>
    <w:rsid w:val="00CC263B"/>
    <w:rsid w:val="00CC2823"/>
    <w:rsid w:val="00CC2CB7"/>
    <w:rsid w:val="00CC3052"/>
    <w:rsid w:val="00CC3247"/>
    <w:rsid w:val="00CC38FA"/>
    <w:rsid w:val="00CC39D1"/>
    <w:rsid w:val="00CC51B7"/>
    <w:rsid w:val="00CC5575"/>
    <w:rsid w:val="00CC5757"/>
    <w:rsid w:val="00CC597D"/>
    <w:rsid w:val="00CC5D94"/>
    <w:rsid w:val="00CC5E37"/>
    <w:rsid w:val="00CC5FD2"/>
    <w:rsid w:val="00CC6517"/>
    <w:rsid w:val="00CC6AD0"/>
    <w:rsid w:val="00CC7292"/>
    <w:rsid w:val="00CC7ADF"/>
    <w:rsid w:val="00CD06AE"/>
    <w:rsid w:val="00CD1278"/>
    <w:rsid w:val="00CD1363"/>
    <w:rsid w:val="00CD1996"/>
    <w:rsid w:val="00CD19B7"/>
    <w:rsid w:val="00CD2447"/>
    <w:rsid w:val="00CD2F82"/>
    <w:rsid w:val="00CD312A"/>
    <w:rsid w:val="00CD56F0"/>
    <w:rsid w:val="00CD6100"/>
    <w:rsid w:val="00CD712F"/>
    <w:rsid w:val="00CD77FD"/>
    <w:rsid w:val="00CD7F61"/>
    <w:rsid w:val="00CE0DD6"/>
    <w:rsid w:val="00CE0E7A"/>
    <w:rsid w:val="00CE0EBF"/>
    <w:rsid w:val="00CE18F9"/>
    <w:rsid w:val="00CE1EA8"/>
    <w:rsid w:val="00CE365A"/>
    <w:rsid w:val="00CE3A00"/>
    <w:rsid w:val="00CE4371"/>
    <w:rsid w:val="00CE5179"/>
    <w:rsid w:val="00CE532D"/>
    <w:rsid w:val="00CE5DDC"/>
    <w:rsid w:val="00CE64CE"/>
    <w:rsid w:val="00CE6ADD"/>
    <w:rsid w:val="00CE6B07"/>
    <w:rsid w:val="00CE7A4C"/>
    <w:rsid w:val="00CF0345"/>
    <w:rsid w:val="00CF0DCD"/>
    <w:rsid w:val="00CF1215"/>
    <w:rsid w:val="00CF152E"/>
    <w:rsid w:val="00CF156A"/>
    <w:rsid w:val="00CF1D42"/>
    <w:rsid w:val="00CF2596"/>
    <w:rsid w:val="00CF265D"/>
    <w:rsid w:val="00CF461C"/>
    <w:rsid w:val="00CF4CF8"/>
    <w:rsid w:val="00CF51D4"/>
    <w:rsid w:val="00CF545E"/>
    <w:rsid w:val="00CF57A3"/>
    <w:rsid w:val="00CF74F5"/>
    <w:rsid w:val="00CF7791"/>
    <w:rsid w:val="00D00726"/>
    <w:rsid w:val="00D00B24"/>
    <w:rsid w:val="00D019FE"/>
    <w:rsid w:val="00D0296E"/>
    <w:rsid w:val="00D03235"/>
    <w:rsid w:val="00D032C9"/>
    <w:rsid w:val="00D032D9"/>
    <w:rsid w:val="00D03456"/>
    <w:rsid w:val="00D0353E"/>
    <w:rsid w:val="00D042C3"/>
    <w:rsid w:val="00D04462"/>
    <w:rsid w:val="00D0466A"/>
    <w:rsid w:val="00D04995"/>
    <w:rsid w:val="00D04CC5"/>
    <w:rsid w:val="00D05282"/>
    <w:rsid w:val="00D056B2"/>
    <w:rsid w:val="00D06704"/>
    <w:rsid w:val="00D072D3"/>
    <w:rsid w:val="00D074C0"/>
    <w:rsid w:val="00D075D9"/>
    <w:rsid w:val="00D10E14"/>
    <w:rsid w:val="00D110CF"/>
    <w:rsid w:val="00D1117C"/>
    <w:rsid w:val="00D115F8"/>
    <w:rsid w:val="00D11AF4"/>
    <w:rsid w:val="00D11F10"/>
    <w:rsid w:val="00D12127"/>
    <w:rsid w:val="00D131D1"/>
    <w:rsid w:val="00D13B4E"/>
    <w:rsid w:val="00D142B7"/>
    <w:rsid w:val="00D15480"/>
    <w:rsid w:val="00D16427"/>
    <w:rsid w:val="00D1659A"/>
    <w:rsid w:val="00D1730D"/>
    <w:rsid w:val="00D17CAB"/>
    <w:rsid w:val="00D21E02"/>
    <w:rsid w:val="00D2360E"/>
    <w:rsid w:val="00D23C41"/>
    <w:rsid w:val="00D24036"/>
    <w:rsid w:val="00D24497"/>
    <w:rsid w:val="00D24D7C"/>
    <w:rsid w:val="00D25161"/>
    <w:rsid w:val="00D256AF"/>
    <w:rsid w:val="00D25D02"/>
    <w:rsid w:val="00D26BBD"/>
    <w:rsid w:val="00D31147"/>
    <w:rsid w:val="00D316ED"/>
    <w:rsid w:val="00D31AB1"/>
    <w:rsid w:val="00D327DB"/>
    <w:rsid w:val="00D32817"/>
    <w:rsid w:val="00D32DAC"/>
    <w:rsid w:val="00D33221"/>
    <w:rsid w:val="00D33FFE"/>
    <w:rsid w:val="00D349EC"/>
    <w:rsid w:val="00D35437"/>
    <w:rsid w:val="00D357C4"/>
    <w:rsid w:val="00D35CCF"/>
    <w:rsid w:val="00D40261"/>
    <w:rsid w:val="00D40384"/>
    <w:rsid w:val="00D41AB7"/>
    <w:rsid w:val="00D41C6E"/>
    <w:rsid w:val="00D42375"/>
    <w:rsid w:val="00D43CBA"/>
    <w:rsid w:val="00D44348"/>
    <w:rsid w:val="00D443A3"/>
    <w:rsid w:val="00D44553"/>
    <w:rsid w:val="00D44598"/>
    <w:rsid w:val="00D46064"/>
    <w:rsid w:val="00D467FF"/>
    <w:rsid w:val="00D47D16"/>
    <w:rsid w:val="00D50334"/>
    <w:rsid w:val="00D506B3"/>
    <w:rsid w:val="00D5100B"/>
    <w:rsid w:val="00D51090"/>
    <w:rsid w:val="00D51503"/>
    <w:rsid w:val="00D516FA"/>
    <w:rsid w:val="00D518B2"/>
    <w:rsid w:val="00D51FCA"/>
    <w:rsid w:val="00D528C0"/>
    <w:rsid w:val="00D52F46"/>
    <w:rsid w:val="00D53B5B"/>
    <w:rsid w:val="00D53B5C"/>
    <w:rsid w:val="00D55755"/>
    <w:rsid w:val="00D56169"/>
    <w:rsid w:val="00D563A9"/>
    <w:rsid w:val="00D5655C"/>
    <w:rsid w:val="00D57D5E"/>
    <w:rsid w:val="00D60B84"/>
    <w:rsid w:val="00D622D0"/>
    <w:rsid w:val="00D62349"/>
    <w:rsid w:val="00D623BC"/>
    <w:rsid w:val="00D6260E"/>
    <w:rsid w:val="00D63481"/>
    <w:rsid w:val="00D64179"/>
    <w:rsid w:val="00D643A4"/>
    <w:rsid w:val="00D64C67"/>
    <w:rsid w:val="00D64FFB"/>
    <w:rsid w:val="00D658F2"/>
    <w:rsid w:val="00D665D7"/>
    <w:rsid w:val="00D70708"/>
    <w:rsid w:val="00D710B8"/>
    <w:rsid w:val="00D712E9"/>
    <w:rsid w:val="00D719AE"/>
    <w:rsid w:val="00D72327"/>
    <w:rsid w:val="00D72B03"/>
    <w:rsid w:val="00D72E87"/>
    <w:rsid w:val="00D73CDE"/>
    <w:rsid w:val="00D73CF1"/>
    <w:rsid w:val="00D7423A"/>
    <w:rsid w:val="00D74275"/>
    <w:rsid w:val="00D743F3"/>
    <w:rsid w:val="00D76073"/>
    <w:rsid w:val="00D8277B"/>
    <w:rsid w:val="00D82B2C"/>
    <w:rsid w:val="00D82B36"/>
    <w:rsid w:val="00D842BA"/>
    <w:rsid w:val="00D84884"/>
    <w:rsid w:val="00D859E3"/>
    <w:rsid w:val="00D8605F"/>
    <w:rsid w:val="00D87293"/>
    <w:rsid w:val="00D9035D"/>
    <w:rsid w:val="00D9079F"/>
    <w:rsid w:val="00D90A2B"/>
    <w:rsid w:val="00D913B0"/>
    <w:rsid w:val="00D91586"/>
    <w:rsid w:val="00D91591"/>
    <w:rsid w:val="00D91906"/>
    <w:rsid w:val="00D91AB7"/>
    <w:rsid w:val="00D93A5E"/>
    <w:rsid w:val="00D94036"/>
    <w:rsid w:val="00D94145"/>
    <w:rsid w:val="00D954D9"/>
    <w:rsid w:val="00D9557B"/>
    <w:rsid w:val="00D95A92"/>
    <w:rsid w:val="00D96147"/>
    <w:rsid w:val="00D97359"/>
    <w:rsid w:val="00D9748C"/>
    <w:rsid w:val="00D97509"/>
    <w:rsid w:val="00D97FA7"/>
    <w:rsid w:val="00DA0441"/>
    <w:rsid w:val="00DA0B91"/>
    <w:rsid w:val="00DA0DD3"/>
    <w:rsid w:val="00DA0FE7"/>
    <w:rsid w:val="00DA16BC"/>
    <w:rsid w:val="00DA1AD3"/>
    <w:rsid w:val="00DA1ED0"/>
    <w:rsid w:val="00DA20F4"/>
    <w:rsid w:val="00DA22F2"/>
    <w:rsid w:val="00DA2AC9"/>
    <w:rsid w:val="00DA2BBC"/>
    <w:rsid w:val="00DA347E"/>
    <w:rsid w:val="00DA468B"/>
    <w:rsid w:val="00DA54C5"/>
    <w:rsid w:val="00DA5D5A"/>
    <w:rsid w:val="00DA70A2"/>
    <w:rsid w:val="00DA7237"/>
    <w:rsid w:val="00DB0BB5"/>
    <w:rsid w:val="00DB0EBD"/>
    <w:rsid w:val="00DB1554"/>
    <w:rsid w:val="00DB1CEA"/>
    <w:rsid w:val="00DB1D18"/>
    <w:rsid w:val="00DB2AE3"/>
    <w:rsid w:val="00DB3005"/>
    <w:rsid w:val="00DB32AE"/>
    <w:rsid w:val="00DB4D4C"/>
    <w:rsid w:val="00DB4D5D"/>
    <w:rsid w:val="00DB50E1"/>
    <w:rsid w:val="00DB521B"/>
    <w:rsid w:val="00DB5700"/>
    <w:rsid w:val="00DB6308"/>
    <w:rsid w:val="00DB63F1"/>
    <w:rsid w:val="00DB6598"/>
    <w:rsid w:val="00DB6650"/>
    <w:rsid w:val="00DB6C2C"/>
    <w:rsid w:val="00DB6C9E"/>
    <w:rsid w:val="00DB6D0A"/>
    <w:rsid w:val="00DC003F"/>
    <w:rsid w:val="00DC01DF"/>
    <w:rsid w:val="00DC04F5"/>
    <w:rsid w:val="00DC09B5"/>
    <w:rsid w:val="00DC0D03"/>
    <w:rsid w:val="00DC0D48"/>
    <w:rsid w:val="00DC292B"/>
    <w:rsid w:val="00DC2FED"/>
    <w:rsid w:val="00DC3092"/>
    <w:rsid w:val="00DC334C"/>
    <w:rsid w:val="00DC382E"/>
    <w:rsid w:val="00DC3BDD"/>
    <w:rsid w:val="00DC40C8"/>
    <w:rsid w:val="00DC47B9"/>
    <w:rsid w:val="00DC4C92"/>
    <w:rsid w:val="00DC64A5"/>
    <w:rsid w:val="00DD07EB"/>
    <w:rsid w:val="00DD14D3"/>
    <w:rsid w:val="00DD1809"/>
    <w:rsid w:val="00DD1DFC"/>
    <w:rsid w:val="00DD2467"/>
    <w:rsid w:val="00DD29F8"/>
    <w:rsid w:val="00DD3601"/>
    <w:rsid w:val="00DD36DF"/>
    <w:rsid w:val="00DD3BB8"/>
    <w:rsid w:val="00DD3CC2"/>
    <w:rsid w:val="00DD4708"/>
    <w:rsid w:val="00DD4B83"/>
    <w:rsid w:val="00DD5480"/>
    <w:rsid w:val="00DD6C05"/>
    <w:rsid w:val="00DE0182"/>
    <w:rsid w:val="00DE0B7C"/>
    <w:rsid w:val="00DE107E"/>
    <w:rsid w:val="00DE11E9"/>
    <w:rsid w:val="00DE1883"/>
    <w:rsid w:val="00DE1C86"/>
    <w:rsid w:val="00DE231D"/>
    <w:rsid w:val="00DE2814"/>
    <w:rsid w:val="00DE38D9"/>
    <w:rsid w:val="00DE4247"/>
    <w:rsid w:val="00DE51F4"/>
    <w:rsid w:val="00DE5AAC"/>
    <w:rsid w:val="00DE6968"/>
    <w:rsid w:val="00DE7357"/>
    <w:rsid w:val="00DE74A4"/>
    <w:rsid w:val="00DF077F"/>
    <w:rsid w:val="00DF1375"/>
    <w:rsid w:val="00DF1608"/>
    <w:rsid w:val="00DF1C46"/>
    <w:rsid w:val="00DF2504"/>
    <w:rsid w:val="00DF2E5C"/>
    <w:rsid w:val="00DF2F47"/>
    <w:rsid w:val="00DF3538"/>
    <w:rsid w:val="00DF397C"/>
    <w:rsid w:val="00DF5A47"/>
    <w:rsid w:val="00DF6C7A"/>
    <w:rsid w:val="00DF7006"/>
    <w:rsid w:val="00DF7832"/>
    <w:rsid w:val="00DF7915"/>
    <w:rsid w:val="00E00000"/>
    <w:rsid w:val="00E002D7"/>
    <w:rsid w:val="00E00A5F"/>
    <w:rsid w:val="00E00BAF"/>
    <w:rsid w:val="00E010BD"/>
    <w:rsid w:val="00E0186C"/>
    <w:rsid w:val="00E01EF7"/>
    <w:rsid w:val="00E02932"/>
    <w:rsid w:val="00E03292"/>
    <w:rsid w:val="00E03EC8"/>
    <w:rsid w:val="00E0440D"/>
    <w:rsid w:val="00E04E4C"/>
    <w:rsid w:val="00E05703"/>
    <w:rsid w:val="00E05A34"/>
    <w:rsid w:val="00E05F8D"/>
    <w:rsid w:val="00E07464"/>
    <w:rsid w:val="00E101E2"/>
    <w:rsid w:val="00E107DD"/>
    <w:rsid w:val="00E1139E"/>
    <w:rsid w:val="00E126A2"/>
    <w:rsid w:val="00E12F77"/>
    <w:rsid w:val="00E12FDE"/>
    <w:rsid w:val="00E13FC3"/>
    <w:rsid w:val="00E14BDB"/>
    <w:rsid w:val="00E14DF7"/>
    <w:rsid w:val="00E1554C"/>
    <w:rsid w:val="00E177C8"/>
    <w:rsid w:val="00E17A8B"/>
    <w:rsid w:val="00E200B8"/>
    <w:rsid w:val="00E20BBA"/>
    <w:rsid w:val="00E210AE"/>
    <w:rsid w:val="00E212E5"/>
    <w:rsid w:val="00E217FA"/>
    <w:rsid w:val="00E2343C"/>
    <w:rsid w:val="00E2343E"/>
    <w:rsid w:val="00E23A12"/>
    <w:rsid w:val="00E23BD3"/>
    <w:rsid w:val="00E247C3"/>
    <w:rsid w:val="00E252CC"/>
    <w:rsid w:val="00E2549C"/>
    <w:rsid w:val="00E25BF8"/>
    <w:rsid w:val="00E26031"/>
    <w:rsid w:val="00E263B6"/>
    <w:rsid w:val="00E2670A"/>
    <w:rsid w:val="00E30F9E"/>
    <w:rsid w:val="00E3116F"/>
    <w:rsid w:val="00E31BB7"/>
    <w:rsid w:val="00E3272D"/>
    <w:rsid w:val="00E32E30"/>
    <w:rsid w:val="00E340AA"/>
    <w:rsid w:val="00E3420A"/>
    <w:rsid w:val="00E346FA"/>
    <w:rsid w:val="00E350A2"/>
    <w:rsid w:val="00E353E1"/>
    <w:rsid w:val="00E36474"/>
    <w:rsid w:val="00E37072"/>
    <w:rsid w:val="00E37E86"/>
    <w:rsid w:val="00E40768"/>
    <w:rsid w:val="00E418B6"/>
    <w:rsid w:val="00E42125"/>
    <w:rsid w:val="00E43945"/>
    <w:rsid w:val="00E43A63"/>
    <w:rsid w:val="00E440A1"/>
    <w:rsid w:val="00E441AA"/>
    <w:rsid w:val="00E456BE"/>
    <w:rsid w:val="00E45A37"/>
    <w:rsid w:val="00E46136"/>
    <w:rsid w:val="00E46C3D"/>
    <w:rsid w:val="00E46DCE"/>
    <w:rsid w:val="00E47B41"/>
    <w:rsid w:val="00E50472"/>
    <w:rsid w:val="00E50893"/>
    <w:rsid w:val="00E51A06"/>
    <w:rsid w:val="00E51C70"/>
    <w:rsid w:val="00E51D44"/>
    <w:rsid w:val="00E52572"/>
    <w:rsid w:val="00E5339B"/>
    <w:rsid w:val="00E538C0"/>
    <w:rsid w:val="00E53F67"/>
    <w:rsid w:val="00E54079"/>
    <w:rsid w:val="00E542F4"/>
    <w:rsid w:val="00E54896"/>
    <w:rsid w:val="00E558B4"/>
    <w:rsid w:val="00E55BCC"/>
    <w:rsid w:val="00E55C5F"/>
    <w:rsid w:val="00E56552"/>
    <w:rsid w:val="00E606AC"/>
    <w:rsid w:val="00E615AA"/>
    <w:rsid w:val="00E61636"/>
    <w:rsid w:val="00E61C7F"/>
    <w:rsid w:val="00E62672"/>
    <w:rsid w:val="00E639B4"/>
    <w:rsid w:val="00E63B4B"/>
    <w:rsid w:val="00E64233"/>
    <w:rsid w:val="00E655CE"/>
    <w:rsid w:val="00E65B82"/>
    <w:rsid w:val="00E66A84"/>
    <w:rsid w:val="00E673E9"/>
    <w:rsid w:val="00E67B5F"/>
    <w:rsid w:val="00E70D3E"/>
    <w:rsid w:val="00E71F7A"/>
    <w:rsid w:val="00E72E45"/>
    <w:rsid w:val="00E742E0"/>
    <w:rsid w:val="00E7475C"/>
    <w:rsid w:val="00E747BC"/>
    <w:rsid w:val="00E74823"/>
    <w:rsid w:val="00E7498E"/>
    <w:rsid w:val="00E750BE"/>
    <w:rsid w:val="00E755CE"/>
    <w:rsid w:val="00E7618A"/>
    <w:rsid w:val="00E76659"/>
    <w:rsid w:val="00E76CA0"/>
    <w:rsid w:val="00E77097"/>
    <w:rsid w:val="00E773E0"/>
    <w:rsid w:val="00E7762E"/>
    <w:rsid w:val="00E77A0E"/>
    <w:rsid w:val="00E77D79"/>
    <w:rsid w:val="00E77F03"/>
    <w:rsid w:val="00E82C6E"/>
    <w:rsid w:val="00E83078"/>
    <w:rsid w:val="00E830A9"/>
    <w:rsid w:val="00E835B4"/>
    <w:rsid w:val="00E85AAA"/>
    <w:rsid w:val="00E86106"/>
    <w:rsid w:val="00E86399"/>
    <w:rsid w:val="00E864D2"/>
    <w:rsid w:val="00E90075"/>
    <w:rsid w:val="00E9028F"/>
    <w:rsid w:val="00E90381"/>
    <w:rsid w:val="00E907AE"/>
    <w:rsid w:val="00E91376"/>
    <w:rsid w:val="00E91BCD"/>
    <w:rsid w:val="00E91EC4"/>
    <w:rsid w:val="00E92591"/>
    <w:rsid w:val="00E92AE2"/>
    <w:rsid w:val="00E936F2"/>
    <w:rsid w:val="00E94957"/>
    <w:rsid w:val="00E94C2B"/>
    <w:rsid w:val="00E94DE3"/>
    <w:rsid w:val="00E95AF9"/>
    <w:rsid w:val="00E95D83"/>
    <w:rsid w:val="00E97818"/>
    <w:rsid w:val="00EA0012"/>
    <w:rsid w:val="00EA0DF8"/>
    <w:rsid w:val="00EA29BF"/>
    <w:rsid w:val="00EA33BB"/>
    <w:rsid w:val="00EA4358"/>
    <w:rsid w:val="00EA5C5F"/>
    <w:rsid w:val="00EA6883"/>
    <w:rsid w:val="00EA6C58"/>
    <w:rsid w:val="00EA7294"/>
    <w:rsid w:val="00EA7790"/>
    <w:rsid w:val="00EA7FEC"/>
    <w:rsid w:val="00EB0473"/>
    <w:rsid w:val="00EB08F9"/>
    <w:rsid w:val="00EB0AA0"/>
    <w:rsid w:val="00EB28A8"/>
    <w:rsid w:val="00EB2B42"/>
    <w:rsid w:val="00EB3A29"/>
    <w:rsid w:val="00EB3A58"/>
    <w:rsid w:val="00EB4D4C"/>
    <w:rsid w:val="00EB5A2C"/>
    <w:rsid w:val="00EB7825"/>
    <w:rsid w:val="00EB7ADD"/>
    <w:rsid w:val="00EC2F63"/>
    <w:rsid w:val="00EC30E7"/>
    <w:rsid w:val="00EC3491"/>
    <w:rsid w:val="00EC39D7"/>
    <w:rsid w:val="00EC5C3C"/>
    <w:rsid w:val="00EC6793"/>
    <w:rsid w:val="00EC6D07"/>
    <w:rsid w:val="00EC7016"/>
    <w:rsid w:val="00EC7671"/>
    <w:rsid w:val="00ED00D6"/>
    <w:rsid w:val="00ED023F"/>
    <w:rsid w:val="00ED0A11"/>
    <w:rsid w:val="00ED17EC"/>
    <w:rsid w:val="00ED23CC"/>
    <w:rsid w:val="00ED2653"/>
    <w:rsid w:val="00ED2F28"/>
    <w:rsid w:val="00ED4632"/>
    <w:rsid w:val="00ED4E2F"/>
    <w:rsid w:val="00ED6C0B"/>
    <w:rsid w:val="00EE0C5F"/>
    <w:rsid w:val="00EE1CD1"/>
    <w:rsid w:val="00EE22B5"/>
    <w:rsid w:val="00EE2B45"/>
    <w:rsid w:val="00EE2CDB"/>
    <w:rsid w:val="00EE30CF"/>
    <w:rsid w:val="00EE3DE2"/>
    <w:rsid w:val="00EE3E65"/>
    <w:rsid w:val="00EE4F46"/>
    <w:rsid w:val="00EE62CB"/>
    <w:rsid w:val="00EE6DB0"/>
    <w:rsid w:val="00EE7063"/>
    <w:rsid w:val="00EE74FA"/>
    <w:rsid w:val="00EF035A"/>
    <w:rsid w:val="00EF1357"/>
    <w:rsid w:val="00EF169D"/>
    <w:rsid w:val="00EF2696"/>
    <w:rsid w:val="00EF3062"/>
    <w:rsid w:val="00EF5A3C"/>
    <w:rsid w:val="00EF6139"/>
    <w:rsid w:val="00EF62A1"/>
    <w:rsid w:val="00EF6467"/>
    <w:rsid w:val="00EF661C"/>
    <w:rsid w:val="00EF6CC3"/>
    <w:rsid w:val="00EF76AC"/>
    <w:rsid w:val="00EF784A"/>
    <w:rsid w:val="00F0020E"/>
    <w:rsid w:val="00F00476"/>
    <w:rsid w:val="00F00EDE"/>
    <w:rsid w:val="00F02099"/>
    <w:rsid w:val="00F02127"/>
    <w:rsid w:val="00F02508"/>
    <w:rsid w:val="00F025E7"/>
    <w:rsid w:val="00F03134"/>
    <w:rsid w:val="00F0592C"/>
    <w:rsid w:val="00F059EF"/>
    <w:rsid w:val="00F06A3E"/>
    <w:rsid w:val="00F06BBE"/>
    <w:rsid w:val="00F06D89"/>
    <w:rsid w:val="00F07B1C"/>
    <w:rsid w:val="00F07E81"/>
    <w:rsid w:val="00F11088"/>
    <w:rsid w:val="00F11DB8"/>
    <w:rsid w:val="00F12045"/>
    <w:rsid w:val="00F121D8"/>
    <w:rsid w:val="00F1251B"/>
    <w:rsid w:val="00F1304B"/>
    <w:rsid w:val="00F133F4"/>
    <w:rsid w:val="00F14ABC"/>
    <w:rsid w:val="00F17505"/>
    <w:rsid w:val="00F17EC9"/>
    <w:rsid w:val="00F20B6E"/>
    <w:rsid w:val="00F20DDD"/>
    <w:rsid w:val="00F22078"/>
    <w:rsid w:val="00F22740"/>
    <w:rsid w:val="00F22846"/>
    <w:rsid w:val="00F22A38"/>
    <w:rsid w:val="00F230EC"/>
    <w:rsid w:val="00F23A1A"/>
    <w:rsid w:val="00F24335"/>
    <w:rsid w:val="00F24AA7"/>
    <w:rsid w:val="00F24ADC"/>
    <w:rsid w:val="00F26D26"/>
    <w:rsid w:val="00F313EF"/>
    <w:rsid w:val="00F31D6D"/>
    <w:rsid w:val="00F32028"/>
    <w:rsid w:val="00F330DC"/>
    <w:rsid w:val="00F33687"/>
    <w:rsid w:val="00F33D40"/>
    <w:rsid w:val="00F3465F"/>
    <w:rsid w:val="00F34F1A"/>
    <w:rsid w:val="00F35487"/>
    <w:rsid w:val="00F370BA"/>
    <w:rsid w:val="00F37739"/>
    <w:rsid w:val="00F40119"/>
    <w:rsid w:val="00F410FC"/>
    <w:rsid w:val="00F41C4D"/>
    <w:rsid w:val="00F41FA2"/>
    <w:rsid w:val="00F429AE"/>
    <w:rsid w:val="00F42D58"/>
    <w:rsid w:val="00F43A7D"/>
    <w:rsid w:val="00F43D77"/>
    <w:rsid w:val="00F4499C"/>
    <w:rsid w:val="00F44B46"/>
    <w:rsid w:val="00F44DE6"/>
    <w:rsid w:val="00F4575B"/>
    <w:rsid w:val="00F45ED5"/>
    <w:rsid w:val="00F45F04"/>
    <w:rsid w:val="00F4622D"/>
    <w:rsid w:val="00F4695F"/>
    <w:rsid w:val="00F47879"/>
    <w:rsid w:val="00F50FA4"/>
    <w:rsid w:val="00F51751"/>
    <w:rsid w:val="00F5286B"/>
    <w:rsid w:val="00F52F04"/>
    <w:rsid w:val="00F564DE"/>
    <w:rsid w:val="00F57903"/>
    <w:rsid w:val="00F6077E"/>
    <w:rsid w:val="00F61D2D"/>
    <w:rsid w:val="00F62109"/>
    <w:rsid w:val="00F63894"/>
    <w:rsid w:val="00F64008"/>
    <w:rsid w:val="00F6465E"/>
    <w:rsid w:val="00F64AEA"/>
    <w:rsid w:val="00F64F89"/>
    <w:rsid w:val="00F65F3F"/>
    <w:rsid w:val="00F67276"/>
    <w:rsid w:val="00F67D7A"/>
    <w:rsid w:val="00F70907"/>
    <w:rsid w:val="00F70DAD"/>
    <w:rsid w:val="00F710AE"/>
    <w:rsid w:val="00F71892"/>
    <w:rsid w:val="00F7278B"/>
    <w:rsid w:val="00F72B0F"/>
    <w:rsid w:val="00F72F0B"/>
    <w:rsid w:val="00F73A24"/>
    <w:rsid w:val="00F741D1"/>
    <w:rsid w:val="00F744BA"/>
    <w:rsid w:val="00F752C2"/>
    <w:rsid w:val="00F763B8"/>
    <w:rsid w:val="00F7687B"/>
    <w:rsid w:val="00F77A78"/>
    <w:rsid w:val="00F801B5"/>
    <w:rsid w:val="00F81BF9"/>
    <w:rsid w:val="00F81D3A"/>
    <w:rsid w:val="00F8222E"/>
    <w:rsid w:val="00F82AE9"/>
    <w:rsid w:val="00F82B88"/>
    <w:rsid w:val="00F84227"/>
    <w:rsid w:val="00F85DA9"/>
    <w:rsid w:val="00F86040"/>
    <w:rsid w:val="00F86E05"/>
    <w:rsid w:val="00F8783D"/>
    <w:rsid w:val="00F90325"/>
    <w:rsid w:val="00F90440"/>
    <w:rsid w:val="00F93370"/>
    <w:rsid w:val="00F93701"/>
    <w:rsid w:val="00F944C6"/>
    <w:rsid w:val="00F95160"/>
    <w:rsid w:val="00F965AB"/>
    <w:rsid w:val="00F970B3"/>
    <w:rsid w:val="00F97B90"/>
    <w:rsid w:val="00F97BBC"/>
    <w:rsid w:val="00FA0371"/>
    <w:rsid w:val="00FA047F"/>
    <w:rsid w:val="00FA06EA"/>
    <w:rsid w:val="00FA16D9"/>
    <w:rsid w:val="00FA1935"/>
    <w:rsid w:val="00FA1A8D"/>
    <w:rsid w:val="00FA1F98"/>
    <w:rsid w:val="00FA2956"/>
    <w:rsid w:val="00FA2FCF"/>
    <w:rsid w:val="00FA37D3"/>
    <w:rsid w:val="00FA390E"/>
    <w:rsid w:val="00FA3D27"/>
    <w:rsid w:val="00FA44CB"/>
    <w:rsid w:val="00FA6C5E"/>
    <w:rsid w:val="00FA7B68"/>
    <w:rsid w:val="00FB0752"/>
    <w:rsid w:val="00FB1617"/>
    <w:rsid w:val="00FB1B00"/>
    <w:rsid w:val="00FB1FE3"/>
    <w:rsid w:val="00FB388C"/>
    <w:rsid w:val="00FB3DD5"/>
    <w:rsid w:val="00FB4ADB"/>
    <w:rsid w:val="00FB4FDA"/>
    <w:rsid w:val="00FB7864"/>
    <w:rsid w:val="00FB78B0"/>
    <w:rsid w:val="00FC017D"/>
    <w:rsid w:val="00FC03A5"/>
    <w:rsid w:val="00FC0866"/>
    <w:rsid w:val="00FC10EC"/>
    <w:rsid w:val="00FC11A1"/>
    <w:rsid w:val="00FC2161"/>
    <w:rsid w:val="00FC2362"/>
    <w:rsid w:val="00FC314A"/>
    <w:rsid w:val="00FC4FEF"/>
    <w:rsid w:val="00FC5B23"/>
    <w:rsid w:val="00FC5BF2"/>
    <w:rsid w:val="00FC5C81"/>
    <w:rsid w:val="00FC5F13"/>
    <w:rsid w:val="00FC6435"/>
    <w:rsid w:val="00FC6F78"/>
    <w:rsid w:val="00FC721C"/>
    <w:rsid w:val="00FD0077"/>
    <w:rsid w:val="00FD19BD"/>
    <w:rsid w:val="00FD1D3A"/>
    <w:rsid w:val="00FD1E6E"/>
    <w:rsid w:val="00FD39EE"/>
    <w:rsid w:val="00FD3F01"/>
    <w:rsid w:val="00FD4A14"/>
    <w:rsid w:val="00FD4EC8"/>
    <w:rsid w:val="00FD524D"/>
    <w:rsid w:val="00FD53A3"/>
    <w:rsid w:val="00FD54AF"/>
    <w:rsid w:val="00FD5555"/>
    <w:rsid w:val="00FD5867"/>
    <w:rsid w:val="00FD5F64"/>
    <w:rsid w:val="00FD748C"/>
    <w:rsid w:val="00FD7B45"/>
    <w:rsid w:val="00FE0FC2"/>
    <w:rsid w:val="00FE10F0"/>
    <w:rsid w:val="00FE2B2D"/>
    <w:rsid w:val="00FE30E8"/>
    <w:rsid w:val="00FE4A12"/>
    <w:rsid w:val="00FE4C50"/>
    <w:rsid w:val="00FE5223"/>
    <w:rsid w:val="00FE5E70"/>
    <w:rsid w:val="00FE7FD8"/>
    <w:rsid w:val="00FF039A"/>
    <w:rsid w:val="00FF0AD6"/>
    <w:rsid w:val="00FF0EAB"/>
    <w:rsid w:val="00FF15E7"/>
    <w:rsid w:val="00FF1B74"/>
    <w:rsid w:val="00FF2536"/>
    <w:rsid w:val="00FF2686"/>
    <w:rsid w:val="00FF6223"/>
    <w:rsid w:val="00FF67A4"/>
    <w:rsid w:val="00FF6ED4"/>
    <w:rsid w:val="00FF7D13"/>
    <w:rsid w:val="00FF7E5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21F6F8"/>
  <w15:docId w15:val="{9640E848-813D-4F04-9D8F-4342C8CD7D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color w:val="414042" w:themeColor="text1"/>
        <w:sz w:val="22"/>
        <w:szCs w:val="22"/>
        <w:lang w:val="en-AU" w:eastAsia="en-AU" w:bidi="ar-SA"/>
      </w:rPr>
    </w:rPrDefault>
    <w:pPrDefault>
      <w:pPr>
        <w:spacing w:before="100" w:after="1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0"/>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52AB"/>
  </w:style>
  <w:style w:type="paragraph" w:styleId="Heading1">
    <w:name w:val="heading 1"/>
    <w:basedOn w:val="Normal"/>
    <w:next w:val="Normal"/>
    <w:link w:val="Heading1Char"/>
    <w:uiPriority w:val="9"/>
    <w:qFormat/>
    <w:rsid w:val="00C73144"/>
    <w:pPr>
      <w:keepNext/>
      <w:keepLines/>
      <w:spacing w:before="480" w:after="240" w:line="500" w:lineRule="exact"/>
      <w:ind w:right="1984"/>
      <w:contextualSpacing/>
      <w:outlineLvl w:val="0"/>
    </w:pPr>
    <w:rPr>
      <w:rFonts w:asciiTheme="majorHAnsi" w:eastAsiaTheme="majorEastAsia" w:hAnsiTheme="majorHAnsi" w:cs="Times New Roman"/>
      <w:b/>
      <w:bCs/>
      <w:iCs/>
      <w:caps/>
      <w:color w:val="1C3867" w:themeColor="text2"/>
      <w:sz w:val="48"/>
      <w:szCs w:val="48"/>
      <w:lang w:val="en-US" w:bidi="en-US"/>
    </w:rPr>
  </w:style>
  <w:style w:type="paragraph" w:styleId="Heading2">
    <w:name w:val="heading 2"/>
    <w:next w:val="Normal"/>
    <w:link w:val="Heading2Char"/>
    <w:unhideWhenUsed/>
    <w:qFormat/>
    <w:rsid w:val="00BB7C3A"/>
    <w:pPr>
      <w:keepNext/>
      <w:keepLines/>
      <w:spacing w:before="240"/>
      <w:outlineLvl w:val="1"/>
    </w:pPr>
    <w:rPr>
      <w:rFonts w:asciiTheme="majorHAnsi" w:eastAsia="Times New Roman" w:hAnsiTheme="majorHAnsi" w:cs="Times New Roman"/>
      <w:b/>
      <w:bCs/>
      <w:iCs/>
      <w:color w:val="000000"/>
      <w:sz w:val="28"/>
      <w:lang w:val="en-US" w:bidi="en-US"/>
    </w:rPr>
  </w:style>
  <w:style w:type="paragraph" w:styleId="Heading3">
    <w:name w:val="heading 3"/>
    <w:basedOn w:val="Normal"/>
    <w:next w:val="Normal"/>
    <w:link w:val="Heading3Char"/>
    <w:qFormat/>
    <w:rsid w:val="00BB7C3A"/>
    <w:pPr>
      <w:keepNext/>
      <w:keepLines/>
      <w:spacing w:before="200" w:line="240" w:lineRule="auto"/>
      <w:contextualSpacing/>
      <w:outlineLvl w:val="2"/>
    </w:pPr>
    <w:rPr>
      <w:rFonts w:asciiTheme="majorHAnsi" w:eastAsia="Times New Roman" w:hAnsiTheme="majorHAnsi" w:cs="Times New Roman"/>
      <w:b/>
      <w:bCs/>
      <w:iCs/>
      <w:caps/>
      <w:color w:val="1C3867" w:themeColor="text2"/>
      <w:lang w:val="en-US" w:bidi="en-US"/>
    </w:rPr>
  </w:style>
  <w:style w:type="paragraph" w:styleId="Heading4">
    <w:name w:val="heading 4"/>
    <w:basedOn w:val="Normal"/>
    <w:next w:val="Normal"/>
    <w:link w:val="Heading4Char"/>
    <w:unhideWhenUsed/>
    <w:qFormat/>
    <w:rsid w:val="001C5785"/>
    <w:pPr>
      <w:keepNext/>
      <w:keepLines/>
      <w:spacing w:before="200" w:after="240"/>
      <w:outlineLvl w:val="3"/>
    </w:pPr>
    <w:rPr>
      <w:rFonts w:asciiTheme="majorHAnsi" w:eastAsiaTheme="majorEastAsia" w:hAnsiTheme="majorHAnsi" w:cstheme="majorBidi"/>
      <w:b/>
      <w:bCs/>
      <w:i/>
      <w:iCs/>
      <w:lang w:val="en-US"/>
    </w:rPr>
  </w:style>
  <w:style w:type="paragraph" w:styleId="Heading5">
    <w:name w:val="heading 5"/>
    <w:basedOn w:val="Normal"/>
    <w:next w:val="Normal"/>
    <w:link w:val="Heading5Char"/>
    <w:uiPriority w:val="9"/>
    <w:unhideWhenUsed/>
    <w:qFormat/>
    <w:rsid w:val="0096478F"/>
    <w:pPr>
      <w:keepNext/>
      <w:numPr>
        <w:ilvl w:val="1"/>
        <w:numId w:val="1"/>
      </w:numPr>
      <w:spacing w:before="240"/>
      <w:ind w:left="578" w:hanging="578"/>
      <w:outlineLvl w:val="4"/>
    </w:pPr>
    <w:rPr>
      <w:rFonts w:asciiTheme="majorHAnsi" w:eastAsiaTheme="majorEastAsia" w:hAnsiTheme="majorHAnsi" w:cstheme="majorBidi"/>
      <w:b/>
      <w:bCs/>
      <w:caps/>
      <w:color w:val="1C3867" w:themeColor="text2"/>
      <w:szCs w:val="26"/>
    </w:rPr>
  </w:style>
  <w:style w:type="paragraph" w:styleId="Heading6">
    <w:name w:val="heading 6"/>
    <w:basedOn w:val="Normal"/>
    <w:next w:val="Normal"/>
    <w:link w:val="Heading6Char"/>
    <w:uiPriority w:val="9"/>
    <w:unhideWhenUsed/>
    <w:qFormat/>
    <w:rsid w:val="0096478F"/>
    <w:pPr>
      <w:keepNext/>
      <w:numPr>
        <w:ilvl w:val="2"/>
        <w:numId w:val="1"/>
      </w:numPr>
      <w:spacing w:before="240"/>
      <w:outlineLvl w:val="5"/>
    </w:pPr>
    <w:rPr>
      <w:rFonts w:asciiTheme="majorHAnsi" w:eastAsiaTheme="majorEastAsia" w:hAnsiTheme="majorHAnsi" w:cstheme="majorBid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73144"/>
    <w:rPr>
      <w:rFonts w:asciiTheme="majorHAnsi" w:eastAsiaTheme="majorEastAsia" w:hAnsiTheme="majorHAnsi" w:cs="Times New Roman"/>
      <w:b/>
      <w:bCs/>
      <w:iCs/>
      <w:caps/>
      <w:color w:val="1C3867" w:themeColor="text2"/>
      <w:sz w:val="48"/>
      <w:szCs w:val="48"/>
      <w:lang w:val="en-US" w:bidi="en-US"/>
    </w:rPr>
  </w:style>
  <w:style w:type="character" w:customStyle="1" w:styleId="Heading2Char">
    <w:name w:val="Heading 2 Char"/>
    <w:basedOn w:val="DefaultParagraphFont"/>
    <w:link w:val="Heading2"/>
    <w:rsid w:val="00BB7C3A"/>
    <w:rPr>
      <w:rFonts w:asciiTheme="majorHAnsi" w:eastAsia="Times New Roman" w:hAnsiTheme="majorHAnsi" w:cs="Times New Roman"/>
      <w:b/>
      <w:bCs/>
      <w:iCs/>
      <w:color w:val="000000"/>
      <w:sz w:val="28"/>
      <w:lang w:val="en-US" w:bidi="en-US"/>
    </w:rPr>
  </w:style>
  <w:style w:type="character" w:customStyle="1" w:styleId="Heading3Char">
    <w:name w:val="Heading 3 Char"/>
    <w:basedOn w:val="DefaultParagraphFont"/>
    <w:link w:val="Heading3"/>
    <w:rsid w:val="00BB7C3A"/>
    <w:rPr>
      <w:rFonts w:asciiTheme="majorHAnsi" w:eastAsia="Times New Roman" w:hAnsiTheme="majorHAnsi" w:cs="Times New Roman"/>
      <w:b/>
      <w:bCs/>
      <w:iCs/>
      <w:caps/>
      <w:color w:val="1C3867" w:themeColor="text2"/>
      <w:lang w:val="en-US" w:bidi="en-US"/>
    </w:rPr>
  </w:style>
  <w:style w:type="character" w:customStyle="1" w:styleId="Heading4Char">
    <w:name w:val="Heading 4 Char"/>
    <w:basedOn w:val="DefaultParagraphFont"/>
    <w:link w:val="Heading4"/>
    <w:rsid w:val="001C5785"/>
    <w:rPr>
      <w:rFonts w:asciiTheme="majorHAnsi" w:eastAsiaTheme="majorEastAsia" w:hAnsiTheme="majorHAnsi" w:cstheme="majorBidi"/>
      <w:b/>
      <w:bCs/>
      <w:i/>
      <w:iCs/>
      <w:lang w:val="en-US"/>
    </w:rPr>
  </w:style>
  <w:style w:type="paragraph" w:styleId="ListParagraph">
    <w:name w:val="List Paragraph"/>
    <w:basedOn w:val="Normal"/>
    <w:uiPriority w:val="34"/>
    <w:qFormat/>
    <w:rsid w:val="00481A71"/>
    <w:pPr>
      <w:spacing w:line="288" w:lineRule="auto"/>
      <w:ind w:left="720"/>
      <w:contextualSpacing/>
    </w:pPr>
    <w:rPr>
      <w:rFonts w:ascii="Calibri" w:eastAsia="Times New Roman" w:hAnsi="Calibri" w:cs="Times New Roman"/>
      <w:i/>
      <w:iCs/>
      <w:szCs w:val="20"/>
      <w:lang w:bidi="en-US"/>
    </w:rPr>
  </w:style>
  <w:style w:type="character" w:styleId="SubtleReference">
    <w:name w:val="Subtle Reference"/>
    <w:rsid w:val="00481A71"/>
    <w:rPr>
      <w:i/>
      <w:iCs/>
      <w:smallCaps/>
      <w:color w:val="C0504D"/>
      <w:u w:color="C0504D"/>
    </w:rPr>
  </w:style>
  <w:style w:type="paragraph" w:styleId="Header">
    <w:name w:val="header"/>
    <w:basedOn w:val="Normal"/>
    <w:link w:val="HeaderChar"/>
    <w:uiPriority w:val="99"/>
    <w:rsid w:val="00076007"/>
    <w:pPr>
      <w:tabs>
        <w:tab w:val="center" w:pos="4513"/>
        <w:tab w:val="right" w:pos="9026"/>
      </w:tabs>
      <w:spacing w:before="0" w:after="0" w:line="288" w:lineRule="auto"/>
      <w:ind w:right="-873"/>
      <w:jc w:val="right"/>
    </w:pPr>
    <w:rPr>
      <w:rFonts w:ascii="Calibri" w:eastAsia="Times New Roman" w:hAnsi="Calibri" w:cs="Times New Roman"/>
      <w:iCs/>
      <w:szCs w:val="20"/>
      <w:lang w:bidi="en-US"/>
    </w:rPr>
  </w:style>
  <w:style w:type="character" w:customStyle="1" w:styleId="HeaderChar">
    <w:name w:val="Header Char"/>
    <w:basedOn w:val="DefaultParagraphFont"/>
    <w:link w:val="Header"/>
    <w:uiPriority w:val="99"/>
    <w:rsid w:val="00076007"/>
    <w:rPr>
      <w:rFonts w:ascii="Calibri" w:eastAsia="Times New Roman" w:hAnsi="Calibri" w:cs="Times New Roman"/>
      <w:iCs/>
      <w:szCs w:val="20"/>
      <w:lang w:bidi="en-US"/>
    </w:rPr>
  </w:style>
  <w:style w:type="paragraph" w:styleId="Footer">
    <w:name w:val="footer"/>
    <w:basedOn w:val="Normal"/>
    <w:link w:val="FooterChar"/>
    <w:uiPriority w:val="99"/>
    <w:rsid w:val="00B108C5"/>
    <w:pPr>
      <w:spacing w:before="0" w:after="0" w:line="240" w:lineRule="auto"/>
    </w:pPr>
    <w:rPr>
      <w:rFonts w:ascii="Calibri Light" w:hAnsi="Calibri Light"/>
      <w:sz w:val="20"/>
    </w:rPr>
  </w:style>
  <w:style w:type="character" w:customStyle="1" w:styleId="FooterChar">
    <w:name w:val="Footer Char"/>
    <w:basedOn w:val="DefaultParagraphFont"/>
    <w:link w:val="Footer"/>
    <w:uiPriority w:val="99"/>
    <w:rsid w:val="00B108C5"/>
    <w:rPr>
      <w:rFonts w:ascii="Calibri Light" w:hAnsi="Calibri Light"/>
      <w:sz w:val="20"/>
    </w:rPr>
  </w:style>
  <w:style w:type="table" w:customStyle="1" w:styleId="LightList-Accent11">
    <w:name w:val="Light List - Accent 11"/>
    <w:basedOn w:val="TableNormal"/>
    <w:rsid w:val="00481A71"/>
    <w:pPr>
      <w:spacing w:after="0" w:line="240" w:lineRule="auto"/>
    </w:pPr>
    <w:rPr>
      <w:rFonts w:ascii="Calibri" w:eastAsia="Times New Roman" w:hAnsi="Calibri" w:cs="Times New Roman"/>
      <w:sz w:val="20"/>
      <w:szCs w:val="20"/>
      <w:lang w:val="en-US"/>
    </w:rPr>
    <w:tblPr>
      <w:tblStyleRowBandSize w:val="1"/>
      <w:tblStyleColBandSize w:val="1"/>
      <w:tblBorders>
        <w:top w:val="single" w:sz="4" w:space="0" w:color="423A27" w:themeColor="background2" w:themeShade="80"/>
        <w:left w:val="single" w:sz="4" w:space="0" w:color="423A27" w:themeColor="background2" w:themeShade="80"/>
        <w:bottom w:val="single" w:sz="4" w:space="0" w:color="423A27" w:themeColor="background2" w:themeShade="80"/>
        <w:right w:val="single" w:sz="4" w:space="0" w:color="423A27" w:themeColor="background2" w:themeShade="80"/>
        <w:insideH w:val="single" w:sz="4" w:space="0" w:color="423A27" w:themeColor="background2" w:themeShade="80"/>
        <w:insideV w:val="single" w:sz="4" w:space="0" w:color="423A27" w:themeColor="background2" w:themeShade="80"/>
      </w:tblBorders>
    </w:tblPr>
    <w:tblStylePr w:type="firstRow">
      <w:pPr>
        <w:spacing w:before="0" w:after="0" w:line="240" w:lineRule="auto"/>
      </w:pPr>
      <w:rPr>
        <w:b/>
        <w:bCs/>
        <w:color w:val="FFFFFF" w:themeColor="background1"/>
      </w:rPr>
      <w:tblPr/>
      <w:tcPr>
        <w:shd w:val="clear" w:color="auto" w:fill="1C3867" w:themeFill="text2"/>
      </w:tcPr>
    </w:tblStylePr>
    <w:tblStylePr w:type="lastRow">
      <w:pPr>
        <w:spacing w:before="0" w:after="0" w:line="240" w:lineRule="auto"/>
      </w:pPr>
      <w:rPr>
        <w:b/>
        <w:bCs/>
      </w:rPr>
      <w:tblPr/>
      <w:tcPr>
        <w:tcBorders>
          <w:top w:val="single" w:sz="4" w:space="0" w:color="423A27" w:themeColor="background2" w:themeShade="80"/>
          <w:left w:val="single" w:sz="4" w:space="0" w:color="423A27" w:themeColor="background2" w:themeShade="80"/>
          <w:bottom w:val="single" w:sz="4" w:space="0" w:color="423A27" w:themeColor="background2" w:themeShade="80"/>
          <w:right w:val="single" w:sz="4" w:space="0" w:color="423A27" w:themeColor="background2" w:themeShade="80"/>
          <w:insideH w:val="single" w:sz="4" w:space="0" w:color="423A27" w:themeColor="background2" w:themeShade="80"/>
          <w:insideV w:val="single" w:sz="4" w:space="0" w:color="423A27" w:themeColor="background2" w:themeShade="80"/>
        </w:tcBorders>
        <w:shd w:val="clear" w:color="auto" w:fill="C3D3EE" w:themeFill="text2" w:themeFillTint="33"/>
      </w:tcPr>
    </w:tblStylePr>
    <w:tblStylePr w:type="firstCol">
      <w:rPr>
        <w:b w:val="0"/>
        <w:bCs/>
      </w:rPr>
      <w:tblPr/>
      <w:tcPr>
        <w:tcBorders>
          <w:top w:val="single" w:sz="4" w:space="0" w:color="423A27" w:themeColor="background2" w:themeShade="80"/>
          <w:left w:val="single" w:sz="4" w:space="0" w:color="423A27" w:themeColor="background2" w:themeShade="80"/>
          <w:bottom w:val="single" w:sz="4" w:space="0" w:color="423A27" w:themeColor="background2" w:themeShade="80"/>
          <w:right w:val="single" w:sz="4" w:space="0" w:color="423A27" w:themeColor="background2" w:themeShade="80"/>
          <w:insideH w:val="single" w:sz="4" w:space="0" w:color="423A27" w:themeColor="background2" w:themeShade="80"/>
          <w:insideV w:val="single" w:sz="4" w:space="0" w:color="423A27" w:themeColor="background2" w:themeShade="80"/>
        </w:tcBorders>
      </w:tcPr>
    </w:tblStylePr>
    <w:tblStylePr w:type="lastCol">
      <w:rPr>
        <w:b w:val="0"/>
        <w:bCs/>
      </w:rPr>
      <w:tblPr/>
      <w:tcPr>
        <w:tcBorders>
          <w:top w:val="single" w:sz="4" w:space="0" w:color="423A27" w:themeColor="background2" w:themeShade="80"/>
          <w:left w:val="single" w:sz="4" w:space="0" w:color="423A27" w:themeColor="background2" w:themeShade="80"/>
          <w:bottom w:val="single" w:sz="4" w:space="0" w:color="423A27" w:themeColor="background2" w:themeShade="80"/>
          <w:right w:val="single" w:sz="4" w:space="0" w:color="423A27" w:themeColor="background2" w:themeShade="80"/>
          <w:insideH w:val="single" w:sz="4" w:space="0" w:color="423A27" w:themeColor="background2" w:themeShade="80"/>
          <w:insideV w:val="single" w:sz="4" w:space="0" w:color="423A27" w:themeColor="background2" w:themeShade="80"/>
        </w:tcBorders>
      </w:tcPr>
    </w:tblStylePr>
    <w:tblStylePr w:type="band1Vert">
      <w:tblPr/>
      <w:tcPr>
        <w:tcBorders>
          <w:top w:val="single" w:sz="4" w:space="0" w:color="423A27" w:themeColor="background2" w:themeShade="80"/>
          <w:left w:val="single" w:sz="4" w:space="0" w:color="423A27" w:themeColor="background2" w:themeShade="80"/>
          <w:bottom w:val="single" w:sz="4" w:space="0" w:color="423A27" w:themeColor="background2" w:themeShade="80"/>
          <w:right w:val="single" w:sz="4" w:space="0" w:color="423A27" w:themeColor="background2" w:themeShade="80"/>
          <w:insideH w:val="single" w:sz="4" w:space="0" w:color="423A27" w:themeColor="background2" w:themeShade="80"/>
          <w:insideV w:val="single" w:sz="4" w:space="0" w:color="423A27" w:themeColor="background2" w:themeShade="80"/>
        </w:tcBorders>
      </w:tcPr>
    </w:tblStylePr>
    <w:tblStylePr w:type="band2Vert">
      <w:tblPr/>
      <w:tcPr>
        <w:tcBorders>
          <w:top w:val="single" w:sz="4" w:space="0" w:color="423A27" w:themeColor="background2" w:themeShade="80"/>
          <w:left w:val="single" w:sz="4" w:space="0" w:color="423A27" w:themeColor="background2" w:themeShade="80"/>
          <w:bottom w:val="single" w:sz="4" w:space="0" w:color="423A27" w:themeColor="background2" w:themeShade="80"/>
          <w:right w:val="single" w:sz="4" w:space="0" w:color="423A27" w:themeColor="background2" w:themeShade="80"/>
          <w:insideH w:val="single" w:sz="4" w:space="0" w:color="423A27" w:themeColor="background2" w:themeShade="80"/>
          <w:insideV w:val="single" w:sz="4" w:space="0" w:color="423A27" w:themeColor="background2" w:themeShade="80"/>
        </w:tcBorders>
      </w:tcPr>
    </w:tblStylePr>
    <w:tblStylePr w:type="band1Horz">
      <w:tblPr/>
      <w:tcPr>
        <w:tcBorders>
          <w:top w:val="single" w:sz="4" w:space="0" w:color="423A27" w:themeColor="background2" w:themeShade="80"/>
          <w:left w:val="single" w:sz="4" w:space="0" w:color="423A27" w:themeColor="background2" w:themeShade="80"/>
          <w:bottom w:val="single" w:sz="4" w:space="0" w:color="423A27" w:themeColor="background2" w:themeShade="80"/>
          <w:right w:val="single" w:sz="4" w:space="0" w:color="423A27" w:themeColor="background2" w:themeShade="80"/>
          <w:insideH w:val="single" w:sz="4" w:space="0" w:color="423A27" w:themeColor="background2" w:themeShade="80"/>
          <w:insideV w:val="single" w:sz="4" w:space="0" w:color="423A27" w:themeColor="background2" w:themeShade="80"/>
        </w:tcBorders>
      </w:tcPr>
    </w:tblStylePr>
    <w:tblStylePr w:type="band2Horz">
      <w:tblPr/>
      <w:tcPr>
        <w:tcBorders>
          <w:top w:val="single" w:sz="4" w:space="0" w:color="423A27" w:themeColor="background2" w:themeShade="80"/>
          <w:left w:val="single" w:sz="4" w:space="0" w:color="423A27" w:themeColor="background2" w:themeShade="80"/>
          <w:bottom w:val="single" w:sz="4" w:space="0" w:color="423A27" w:themeColor="background2" w:themeShade="80"/>
          <w:right w:val="single" w:sz="4" w:space="0" w:color="423A27" w:themeColor="background2" w:themeShade="80"/>
          <w:insideH w:val="single" w:sz="4" w:space="0" w:color="423A27" w:themeColor="background2" w:themeShade="80"/>
          <w:insideV w:val="single" w:sz="4" w:space="0" w:color="423A27" w:themeColor="background2" w:themeShade="80"/>
        </w:tcBorders>
      </w:tcPr>
    </w:tblStylePr>
  </w:style>
  <w:style w:type="paragraph" w:customStyle="1" w:styleId="TableText">
    <w:name w:val="Table Text"/>
    <w:basedOn w:val="Normal"/>
    <w:rsid w:val="00481A71"/>
    <w:pPr>
      <w:spacing w:after="0" w:line="240" w:lineRule="auto"/>
    </w:pPr>
    <w:rPr>
      <w:rFonts w:ascii="Arial" w:hAnsi="Arial"/>
      <w:i/>
      <w:iCs/>
      <w:lang w:val="en-US"/>
    </w:rPr>
  </w:style>
  <w:style w:type="paragraph" w:customStyle="1" w:styleId="TableHeading">
    <w:name w:val="Table Heading"/>
    <w:basedOn w:val="Normal"/>
    <w:rsid w:val="00481A71"/>
    <w:pPr>
      <w:spacing w:before="60" w:after="60" w:line="240" w:lineRule="auto"/>
    </w:pPr>
    <w:rPr>
      <w:rFonts w:ascii="Arial Narrow" w:hAnsi="Arial Narrow"/>
      <w:b/>
      <w:i/>
      <w:iCs/>
      <w:lang w:val="en-US"/>
    </w:rPr>
  </w:style>
  <w:style w:type="character" w:styleId="Strong">
    <w:name w:val="Strong"/>
    <w:qFormat/>
    <w:rsid w:val="00481A71"/>
    <w:rPr>
      <w:b/>
      <w:bCs/>
      <w:spacing w:val="0"/>
    </w:rPr>
  </w:style>
  <w:style w:type="paragraph" w:styleId="Quote">
    <w:name w:val="Quote"/>
    <w:basedOn w:val="Normal"/>
    <w:next w:val="Normal"/>
    <w:link w:val="QuoteChar"/>
    <w:rsid w:val="00481A71"/>
    <w:pPr>
      <w:spacing w:before="120" w:after="120" w:line="288" w:lineRule="auto"/>
    </w:pPr>
    <w:rPr>
      <w:rFonts w:ascii="Calibri" w:eastAsia="Times New Roman" w:hAnsi="Calibri" w:cs="Times New Roman"/>
      <w:b/>
      <w:color w:val="948A54"/>
      <w:szCs w:val="20"/>
      <w:lang w:bidi="en-US"/>
    </w:rPr>
  </w:style>
  <w:style w:type="character" w:customStyle="1" w:styleId="QuoteChar">
    <w:name w:val="Quote Char"/>
    <w:basedOn w:val="DefaultParagraphFont"/>
    <w:link w:val="Quote"/>
    <w:rsid w:val="00481A71"/>
    <w:rPr>
      <w:rFonts w:ascii="Calibri" w:eastAsia="Times New Roman" w:hAnsi="Calibri" w:cs="Times New Roman"/>
      <w:b/>
      <w:color w:val="948A54"/>
      <w:szCs w:val="20"/>
      <w:lang w:bidi="en-US"/>
    </w:rPr>
  </w:style>
  <w:style w:type="paragraph" w:customStyle="1" w:styleId="SOACoverPage">
    <w:name w:val="SOA Cover Page"/>
    <w:basedOn w:val="Normal"/>
    <w:rsid w:val="00481A71"/>
    <w:pPr>
      <w:spacing w:after="0" w:line="312" w:lineRule="auto"/>
      <w:jc w:val="center"/>
    </w:pPr>
    <w:rPr>
      <w:rFonts w:ascii="Century Gothic" w:eastAsia="Times New Roman" w:hAnsi="Century Gothic" w:cs="Times New Roman"/>
      <w:sz w:val="20"/>
      <w:szCs w:val="20"/>
    </w:rPr>
  </w:style>
  <w:style w:type="paragraph" w:customStyle="1" w:styleId="NoteText">
    <w:name w:val="Note Text"/>
    <w:basedOn w:val="Normal"/>
    <w:rsid w:val="00481A71"/>
    <w:pPr>
      <w:spacing w:after="240" w:line="240" w:lineRule="auto"/>
    </w:pPr>
    <w:rPr>
      <w:rFonts w:ascii="Arial" w:eastAsia="Calibri" w:hAnsi="Arial" w:cs="Times New Roman"/>
      <w:iCs/>
      <w:sz w:val="20"/>
    </w:rPr>
  </w:style>
  <w:style w:type="character" w:customStyle="1" w:styleId="Heading5Char">
    <w:name w:val="Heading 5 Char"/>
    <w:basedOn w:val="DefaultParagraphFont"/>
    <w:link w:val="Heading5"/>
    <w:uiPriority w:val="9"/>
    <w:rsid w:val="0096478F"/>
    <w:rPr>
      <w:rFonts w:asciiTheme="majorHAnsi" w:eastAsiaTheme="majorEastAsia" w:hAnsiTheme="majorHAnsi" w:cstheme="majorBidi"/>
      <w:b/>
      <w:bCs/>
      <w:caps/>
      <w:color w:val="1C3867" w:themeColor="text2"/>
      <w:szCs w:val="26"/>
    </w:rPr>
  </w:style>
  <w:style w:type="character" w:customStyle="1" w:styleId="Heading6Char">
    <w:name w:val="Heading 6 Char"/>
    <w:basedOn w:val="DefaultParagraphFont"/>
    <w:link w:val="Heading6"/>
    <w:uiPriority w:val="9"/>
    <w:rsid w:val="0096478F"/>
    <w:rPr>
      <w:rFonts w:asciiTheme="majorHAnsi" w:eastAsiaTheme="majorEastAsia" w:hAnsiTheme="majorHAnsi" w:cstheme="majorBidi"/>
      <w:b/>
      <w:bCs/>
    </w:rPr>
  </w:style>
  <w:style w:type="paragraph" w:styleId="ListBullet">
    <w:name w:val="List Bullet"/>
    <w:basedOn w:val="Normal"/>
    <w:uiPriority w:val="99"/>
    <w:unhideWhenUsed/>
    <w:qFormat/>
    <w:rsid w:val="00D04995"/>
    <w:pPr>
      <w:numPr>
        <w:numId w:val="2"/>
      </w:numPr>
    </w:pPr>
  </w:style>
  <w:style w:type="character" w:styleId="Emphasis">
    <w:name w:val="Emphasis"/>
    <w:basedOn w:val="DefaultParagraphFont"/>
    <w:uiPriority w:val="20"/>
    <w:qFormat/>
    <w:rsid w:val="003F48A6"/>
    <w:rPr>
      <w:i/>
      <w:iCs/>
    </w:rPr>
  </w:style>
  <w:style w:type="paragraph" w:customStyle="1" w:styleId="RecommendationText">
    <w:name w:val="Recommendation Text"/>
    <w:basedOn w:val="Normal"/>
    <w:rsid w:val="00481A71"/>
    <w:pPr>
      <w:spacing w:after="240" w:line="240" w:lineRule="auto"/>
      <w:ind w:left="567"/>
    </w:pPr>
    <w:rPr>
      <w:rFonts w:ascii="Arial" w:hAnsi="Arial"/>
      <w:i/>
      <w:iCs/>
      <w:lang w:val="en-US"/>
    </w:rPr>
  </w:style>
  <w:style w:type="table" w:customStyle="1" w:styleId="LightList-Accent12">
    <w:name w:val="Light List - Accent 12"/>
    <w:basedOn w:val="TableNormal"/>
    <w:rsid w:val="00481A71"/>
    <w:pPr>
      <w:spacing w:after="0" w:line="240" w:lineRule="auto"/>
    </w:pPr>
    <w:rPr>
      <w:rFonts w:ascii="Calibri" w:eastAsia="Times New Roman" w:hAnsi="Calibri" w:cs="Times New Roman"/>
      <w:sz w:val="20"/>
      <w:szCs w:val="20"/>
      <w:lang w:val="en-US"/>
    </w:rPr>
    <w:tblPr>
      <w:tblStyleRowBandSize w:val="1"/>
      <w:tblStyleColBandSize w:val="1"/>
      <w:tblBorders>
        <w:top w:val="single" w:sz="4" w:space="0" w:color="423A27" w:themeColor="background2" w:themeShade="80"/>
        <w:left w:val="single" w:sz="4" w:space="0" w:color="423A27" w:themeColor="background2" w:themeShade="80"/>
        <w:bottom w:val="single" w:sz="4" w:space="0" w:color="423A27" w:themeColor="background2" w:themeShade="80"/>
        <w:right w:val="single" w:sz="4" w:space="0" w:color="423A27" w:themeColor="background2" w:themeShade="80"/>
        <w:insideH w:val="single" w:sz="4" w:space="0" w:color="423A27" w:themeColor="background2" w:themeShade="80"/>
        <w:insideV w:val="single" w:sz="4" w:space="0" w:color="423A27" w:themeColor="background2" w:themeShade="80"/>
      </w:tblBorders>
    </w:tblPr>
    <w:tblStylePr w:type="firstRow">
      <w:pPr>
        <w:spacing w:before="0" w:after="0" w:line="240" w:lineRule="auto"/>
        <w:jc w:val="left"/>
      </w:pPr>
      <w:rPr>
        <w:b/>
        <w:bCs/>
        <w:color w:val="FFFFFF" w:themeColor="background1"/>
      </w:rPr>
      <w:tblPr/>
      <w:tcPr>
        <w:shd w:val="clear" w:color="auto" w:fill="1C3867" w:themeFill="text2"/>
      </w:tcPr>
    </w:tblStylePr>
    <w:tblStylePr w:type="lastRow">
      <w:pPr>
        <w:spacing w:before="0" w:after="0" w:line="240" w:lineRule="auto"/>
      </w:pPr>
      <w:rPr>
        <w:b/>
        <w:bCs/>
      </w:rPr>
      <w:tblPr/>
      <w:tcPr>
        <w:shd w:val="clear" w:color="auto" w:fill="C3D3EE" w:themeFill="text2" w:themeFillTint="33"/>
      </w:tcPr>
    </w:tblStylePr>
    <w:tblStylePr w:type="firstCol">
      <w:rPr>
        <w:b w:val="0"/>
        <w:bCs/>
      </w:rPr>
      <w:tblPr/>
      <w:tcPr>
        <w:tcBorders>
          <w:top w:val="single" w:sz="4" w:space="0" w:color="423A27" w:themeColor="background2" w:themeShade="80"/>
          <w:left w:val="single" w:sz="4" w:space="0" w:color="423A27" w:themeColor="background2" w:themeShade="80"/>
          <w:bottom w:val="single" w:sz="4" w:space="0" w:color="423A27" w:themeColor="background2" w:themeShade="80"/>
          <w:right w:val="single" w:sz="4" w:space="0" w:color="423A27" w:themeColor="background2" w:themeShade="80"/>
          <w:insideH w:val="single" w:sz="4" w:space="0" w:color="423A27" w:themeColor="background2" w:themeShade="80"/>
          <w:insideV w:val="single" w:sz="4" w:space="0" w:color="423A27" w:themeColor="background2" w:themeShade="80"/>
        </w:tcBorders>
      </w:tcPr>
    </w:tblStylePr>
    <w:tblStylePr w:type="lastCol">
      <w:rPr>
        <w:b w:val="0"/>
        <w:bCs/>
      </w:rPr>
      <w:tblPr/>
      <w:tcPr>
        <w:tcBorders>
          <w:top w:val="single" w:sz="4" w:space="0" w:color="423A27" w:themeColor="background2" w:themeShade="80"/>
          <w:left w:val="single" w:sz="4" w:space="0" w:color="423A27" w:themeColor="background2" w:themeShade="80"/>
          <w:bottom w:val="single" w:sz="4" w:space="0" w:color="423A27" w:themeColor="background2" w:themeShade="80"/>
          <w:right w:val="single" w:sz="4" w:space="0" w:color="423A27" w:themeColor="background2" w:themeShade="80"/>
          <w:insideH w:val="single" w:sz="4" w:space="0" w:color="423A27" w:themeColor="background2" w:themeShade="80"/>
          <w:insideV w:val="single" w:sz="4" w:space="0" w:color="423A27" w:themeColor="background2" w:themeShade="80"/>
        </w:tcBorders>
      </w:tcPr>
    </w:tblStylePr>
    <w:tblStylePr w:type="band1Vert">
      <w:tblPr/>
      <w:tcPr>
        <w:tcBorders>
          <w:top w:val="single" w:sz="4" w:space="0" w:color="423A27" w:themeColor="background2" w:themeShade="80"/>
          <w:left w:val="single" w:sz="4" w:space="0" w:color="423A27" w:themeColor="background2" w:themeShade="80"/>
          <w:bottom w:val="single" w:sz="4" w:space="0" w:color="423A27" w:themeColor="background2" w:themeShade="80"/>
          <w:right w:val="single" w:sz="4" w:space="0" w:color="423A27" w:themeColor="background2" w:themeShade="80"/>
          <w:insideH w:val="single" w:sz="4" w:space="0" w:color="423A27" w:themeColor="background2" w:themeShade="80"/>
          <w:insideV w:val="single" w:sz="4" w:space="0" w:color="423A27" w:themeColor="background2" w:themeShade="80"/>
        </w:tcBorders>
      </w:tcPr>
    </w:tblStylePr>
    <w:tblStylePr w:type="band2Vert">
      <w:tblPr/>
      <w:tcPr>
        <w:tcBorders>
          <w:top w:val="single" w:sz="4" w:space="0" w:color="423A27" w:themeColor="background2" w:themeShade="80"/>
          <w:left w:val="single" w:sz="4" w:space="0" w:color="423A27" w:themeColor="background2" w:themeShade="80"/>
          <w:bottom w:val="single" w:sz="4" w:space="0" w:color="423A27" w:themeColor="background2" w:themeShade="80"/>
          <w:right w:val="single" w:sz="4" w:space="0" w:color="423A27" w:themeColor="background2" w:themeShade="80"/>
          <w:insideH w:val="single" w:sz="4" w:space="0" w:color="423A27" w:themeColor="background2" w:themeShade="80"/>
          <w:insideV w:val="single" w:sz="4" w:space="0" w:color="423A27" w:themeColor="background2" w:themeShade="80"/>
        </w:tcBorders>
      </w:tcPr>
    </w:tblStylePr>
    <w:tblStylePr w:type="band1Horz">
      <w:tblPr/>
      <w:tcPr>
        <w:tcBorders>
          <w:top w:val="single" w:sz="4" w:space="0" w:color="423A27" w:themeColor="background2" w:themeShade="80"/>
          <w:left w:val="single" w:sz="4" w:space="0" w:color="423A27" w:themeColor="background2" w:themeShade="80"/>
          <w:bottom w:val="single" w:sz="4" w:space="0" w:color="423A27" w:themeColor="background2" w:themeShade="80"/>
          <w:right w:val="single" w:sz="4" w:space="0" w:color="423A27" w:themeColor="background2" w:themeShade="80"/>
          <w:insideH w:val="single" w:sz="4" w:space="0" w:color="423A27" w:themeColor="background2" w:themeShade="80"/>
          <w:insideV w:val="single" w:sz="4" w:space="0" w:color="423A27" w:themeColor="background2" w:themeShade="80"/>
        </w:tcBorders>
      </w:tcPr>
    </w:tblStylePr>
    <w:tblStylePr w:type="band2Horz">
      <w:tblPr/>
      <w:tcPr>
        <w:tcBorders>
          <w:top w:val="single" w:sz="4" w:space="0" w:color="423A27" w:themeColor="background2" w:themeShade="80"/>
          <w:left w:val="single" w:sz="4" w:space="0" w:color="423A27" w:themeColor="background2" w:themeShade="80"/>
          <w:bottom w:val="single" w:sz="4" w:space="0" w:color="423A27" w:themeColor="background2" w:themeShade="80"/>
          <w:right w:val="single" w:sz="4" w:space="0" w:color="423A27" w:themeColor="background2" w:themeShade="80"/>
          <w:insideH w:val="single" w:sz="4" w:space="0" w:color="423A27" w:themeColor="background2" w:themeShade="80"/>
          <w:insideV w:val="single" w:sz="4" w:space="0" w:color="423A27" w:themeColor="background2" w:themeShade="80"/>
        </w:tcBorders>
      </w:tcPr>
    </w:tblStylePr>
  </w:style>
  <w:style w:type="paragraph" w:styleId="BodyTextIndent">
    <w:name w:val="Body Text Indent"/>
    <w:basedOn w:val="Normal"/>
    <w:link w:val="BodyTextIndentChar"/>
    <w:rsid w:val="00481A71"/>
    <w:pPr>
      <w:spacing w:after="120" w:line="240" w:lineRule="auto"/>
      <w:ind w:left="283"/>
    </w:pPr>
    <w:rPr>
      <w:rFonts w:ascii="Arial" w:eastAsia="Times New Roman" w:hAnsi="Arial" w:cs="Times New Roman"/>
      <w:szCs w:val="20"/>
    </w:rPr>
  </w:style>
  <w:style w:type="character" w:customStyle="1" w:styleId="BodyTextIndentChar">
    <w:name w:val="Body Text Indent Char"/>
    <w:basedOn w:val="DefaultParagraphFont"/>
    <w:link w:val="BodyTextIndent"/>
    <w:rsid w:val="00481A71"/>
    <w:rPr>
      <w:rFonts w:ascii="Arial" w:eastAsia="Times New Roman" w:hAnsi="Arial" w:cs="Times New Roman"/>
      <w:szCs w:val="20"/>
    </w:rPr>
  </w:style>
  <w:style w:type="table" w:styleId="TableGrid">
    <w:name w:val="Table Grid"/>
    <w:basedOn w:val="TableNormal"/>
    <w:uiPriority w:val="59"/>
    <w:rsid w:val="00481A71"/>
    <w:pPr>
      <w:spacing w:after="0" w:line="240" w:lineRule="auto"/>
    </w:pPr>
    <w:rPr>
      <w:rFonts w:ascii="Calibri" w:eastAsia="Times New Roman" w:hAnsi="Calibri"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itle">
    <w:name w:val="Title"/>
    <w:basedOn w:val="Normal"/>
    <w:next w:val="Normal"/>
    <w:link w:val="TitleChar"/>
    <w:uiPriority w:val="10"/>
    <w:qFormat/>
    <w:rsid w:val="005672D8"/>
    <w:pPr>
      <w:spacing w:before="0" w:after="80" w:line="240" w:lineRule="auto"/>
    </w:pPr>
    <w:rPr>
      <w:rFonts w:ascii="Calibri Light" w:eastAsia="Times New Roman" w:hAnsi="Calibri Light" w:cs="Times New Roman"/>
      <w:iCs/>
      <w:color w:val="85754E" w:themeColor="background2"/>
      <w:spacing w:val="10"/>
      <w:sz w:val="52"/>
      <w:szCs w:val="48"/>
      <w:lang w:bidi="en-US"/>
    </w:rPr>
  </w:style>
  <w:style w:type="character" w:customStyle="1" w:styleId="TitleChar">
    <w:name w:val="Title Char"/>
    <w:basedOn w:val="DefaultParagraphFont"/>
    <w:link w:val="Title"/>
    <w:uiPriority w:val="10"/>
    <w:rsid w:val="005672D8"/>
    <w:rPr>
      <w:rFonts w:ascii="Calibri Light" w:eastAsia="Times New Roman" w:hAnsi="Calibri Light" w:cs="Times New Roman"/>
      <w:iCs/>
      <w:color w:val="85754E" w:themeColor="background2"/>
      <w:spacing w:val="10"/>
      <w:sz w:val="52"/>
      <w:szCs w:val="48"/>
      <w:lang w:bidi="en-US"/>
    </w:rPr>
  </w:style>
  <w:style w:type="paragraph" w:customStyle="1" w:styleId="Default">
    <w:name w:val="Default"/>
    <w:rsid w:val="00481A71"/>
    <w:pPr>
      <w:autoSpaceDE w:val="0"/>
      <w:autoSpaceDN w:val="0"/>
      <w:adjustRightInd w:val="0"/>
      <w:spacing w:after="0" w:line="240" w:lineRule="auto"/>
    </w:pPr>
    <w:rPr>
      <w:rFonts w:ascii="Trajan" w:eastAsia="Calibri" w:hAnsi="Trajan" w:cs="Trajan"/>
      <w:color w:val="000000"/>
      <w:sz w:val="24"/>
      <w:szCs w:val="24"/>
    </w:rPr>
  </w:style>
  <w:style w:type="paragraph" w:styleId="BalloonText">
    <w:name w:val="Balloon Text"/>
    <w:basedOn w:val="Normal"/>
    <w:link w:val="BalloonTextChar"/>
    <w:uiPriority w:val="99"/>
    <w:semiHidden/>
    <w:unhideWhenUsed/>
    <w:rsid w:val="00481A7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1A71"/>
    <w:rPr>
      <w:rFonts w:ascii="Tahoma" w:hAnsi="Tahoma" w:cs="Tahoma"/>
      <w:sz w:val="16"/>
      <w:szCs w:val="16"/>
    </w:rPr>
  </w:style>
  <w:style w:type="character" w:styleId="CommentReference">
    <w:name w:val="annotation reference"/>
    <w:basedOn w:val="DefaultParagraphFont"/>
    <w:uiPriority w:val="99"/>
    <w:semiHidden/>
    <w:unhideWhenUsed/>
    <w:rsid w:val="00481A71"/>
    <w:rPr>
      <w:sz w:val="16"/>
      <w:szCs w:val="16"/>
    </w:rPr>
  </w:style>
  <w:style w:type="paragraph" w:styleId="CommentText">
    <w:name w:val="annotation text"/>
    <w:basedOn w:val="Normal"/>
    <w:link w:val="CommentTextChar"/>
    <w:uiPriority w:val="99"/>
    <w:unhideWhenUsed/>
    <w:rsid w:val="00481A71"/>
    <w:pPr>
      <w:spacing w:line="240" w:lineRule="auto"/>
    </w:pPr>
    <w:rPr>
      <w:sz w:val="20"/>
      <w:szCs w:val="20"/>
    </w:rPr>
  </w:style>
  <w:style w:type="character" w:customStyle="1" w:styleId="CommentTextChar">
    <w:name w:val="Comment Text Char"/>
    <w:basedOn w:val="DefaultParagraphFont"/>
    <w:link w:val="CommentText"/>
    <w:uiPriority w:val="99"/>
    <w:rsid w:val="00481A71"/>
    <w:rPr>
      <w:sz w:val="20"/>
      <w:szCs w:val="20"/>
    </w:rPr>
  </w:style>
  <w:style w:type="paragraph" w:styleId="CommentSubject">
    <w:name w:val="annotation subject"/>
    <w:basedOn w:val="CommentText"/>
    <w:next w:val="CommentText"/>
    <w:link w:val="CommentSubjectChar"/>
    <w:uiPriority w:val="99"/>
    <w:semiHidden/>
    <w:unhideWhenUsed/>
    <w:rsid w:val="00481A71"/>
    <w:rPr>
      <w:b/>
      <w:bCs/>
    </w:rPr>
  </w:style>
  <w:style w:type="character" w:customStyle="1" w:styleId="CommentSubjectChar">
    <w:name w:val="Comment Subject Char"/>
    <w:basedOn w:val="CommentTextChar"/>
    <w:link w:val="CommentSubject"/>
    <w:uiPriority w:val="99"/>
    <w:semiHidden/>
    <w:rsid w:val="00481A71"/>
    <w:rPr>
      <w:b/>
      <w:bCs/>
      <w:sz w:val="20"/>
      <w:szCs w:val="20"/>
    </w:rPr>
  </w:style>
  <w:style w:type="character" w:styleId="PlaceholderText">
    <w:name w:val="Placeholder Text"/>
    <w:basedOn w:val="DefaultParagraphFont"/>
    <w:uiPriority w:val="99"/>
    <w:rsid w:val="00481A71"/>
    <w:rPr>
      <w:color w:val="808080"/>
    </w:rPr>
  </w:style>
  <w:style w:type="table" w:customStyle="1" w:styleId="LightList-Accent13">
    <w:name w:val="Light List - Accent 13"/>
    <w:basedOn w:val="TableNormal"/>
    <w:uiPriority w:val="61"/>
    <w:rsid w:val="009A1740"/>
    <w:pPr>
      <w:spacing w:after="0" w:line="240" w:lineRule="auto"/>
    </w:pPr>
    <w:tblPr>
      <w:tblStyleRowBandSize w:val="1"/>
      <w:tblStyleColBandSize w:val="1"/>
      <w:tblBorders>
        <w:top w:val="single" w:sz="8" w:space="0" w:color="1C3867" w:themeColor="accent1"/>
        <w:left w:val="single" w:sz="8" w:space="0" w:color="1C3867" w:themeColor="accent1"/>
        <w:bottom w:val="single" w:sz="8" w:space="0" w:color="1C3867" w:themeColor="accent1"/>
        <w:right w:val="single" w:sz="8" w:space="0" w:color="1C3867" w:themeColor="accent1"/>
      </w:tblBorders>
    </w:tblPr>
    <w:tblStylePr w:type="firstRow">
      <w:pPr>
        <w:spacing w:before="0" w:after="0" w:line="240" w:lineRule="auto"/>
      </w:pPr>
      <w:rPr>
        <w:b/>
        <w:bCs/>
        <w:color w:val="FFFFFF" w:themeColor="background1"/>
      </w:rPr>
      <w:tblPr/>
      <w:tcPr>
        <w:shd w:val="clear" w:color="auto" w:fill="1C3867" w:themeFill="accent1"/>
      </w:tcPr>
    </w:tblStylePr>
    <w:tblStylePr w:type="lastRow">
      <w:pPr>
        <w:spacing w:before="0" w:after="0" w:line="240" w:lineRule="auto"/>
      </w:pPr>
      <w:rPr>
        <w:b/>
        <w:bCs/>
      </w:rPr>
      <w:tblPr/>
      <w:tcPr>
        <w:tcBorders>
          <w:top w:val="double" w:sz="6" w:space="0" w:color="1C3867" w:themeColor="accent1"/>
          <w:left w:val="single" w:sz="8" w:space="0" w:color="1C3867" w:themeColor="accent1"/>
          <w:bottom w:val="single" w:sz="8" w:space="0" w:color="1C3867" w:themeColor="accent1"/>
          <w:right w:val="single" w:sz="8" w:space="0" w:color="1C3867" w:themeColor="accent1"/>
        </w:tcBorders>
      </w:tcPr>
    </w:tblStylePr>
    <w:tblStylePr w:type="firstCol">
      <w:rPr>
        <w:b/>
        <w:bCs/>
      </w:rPr>
    </w:tblStylePr>
    <w:tblStylePr w:type="lastCol">
      <w:rPr>
        <w:b/>
        <w:bCs/>
      </w:rPr>
    </w:tblStylePr>
    <w:tblStylePr w:type="band1Vert">
      <w:tblPr/>
      <w:tcPr>
        <w:tcBorders>
          <w:top w:val="single" w:sz="8" w:space="0" w:color="1C3867" w:themeColor="accent1"/>
          <w:left w:val="single" w:sz="8" w:space="0" w:color="1C3867" w:themeColor="accent1"/>
          <w:bottom w:val="single" w:sz="8" w:space="0" w:color="1C3867" w:themeColor="accent1"/>
          <w:right w:val="single" w:sz="8" w:space="0" w:color="1C3867" w:themeColor="accent1"/>
        </w:tcBorders>
      </w:tcPr>
    </w:tblStylePr>
    <w:tblStylePr w:type="band1Horz">
      <w:tblPr/>
      <w:tcPr>
        <w:tcBorders>
          <w:top w:val="single" w:sz="8" w:space="0" w:color="1C3867" w:themeColor="accent1"/>
          <w:left w:val="single" w:sz="8" w:space="0" w:color="1C3867" w:themeColor="accent1"/>
          <w:bottom w:val="single" w:sz="8" w:space="0" w:color="1C3867" w:themeColor="accent1"/>
          <w:right w:val="single" w:sz="8" w:space="0" w:color="1C3867" w:themeColor="accent1"/>
        </w:tcBorders>
      </w:tcPr>
    </w:tblStylePr>
  </w:style>
  <w:style w:type="table" w:customStyle="1" w:styleId="LightList-Accent111">
    <w:name w:val="Light List - Accent 111"/>
    <w:basedOn w:val="TableNormal"/>
    <w:rsid w:val="00A933B9"/>
    <w:pPr>
      <w:spacing w:after="0" w:line="240" w:lineRule="auto"/>
    </w:pPr>
    <w:rPr>
      <w:rFonts w:ascii="Calibri" w:eastAsia="Times New Roman" w:hAnsi="Calibri" w:cs="Times New Roman"/>
      <w:sz w:val="20"/>
      <w:szCs w:val="20"/>
      <w:lang w:val="en-US"/>
    </w:rPr>
    <w:tblPr>
      <w:tblStyleRowBandSize w:val="1"/>
      <w:tblStyleColBandSize w:val="1"/>
      <w:tblBorders>
        <w:top w:val="single" w:sz="4" w:space="0" w:color="423A27" w:themeColor="background2" w:themeShade="80"/>
        <w:left w:val="single" w:sz="4" w:space="0" w:color="423A27" w:themeColor="background2" w:themeShade="80"/>
        <w:bottom w:val="single" w:sz="4" w:space="0" w:color="423A27" w:themeColor="background2" w:themeShade="80"/>
        <w:right w:val="single" w:sz="4" w:space="0" w:color="423A27" w:themeColor="background2" w:themeShade="80"/>
        <w:insideH w:val="single" w:sz="4" w:space="0" w:color="423A27" w:themeColor="background2" w:themeShade="80"/>
        <w:insideV w:val="single" w:sz="4" w:space="0" w:color="423A27" w:themeColor="background2" w:themeShade="80"/>
      </w:tblBorders>
    </w:tblPr>
    <w:tblStylePr w:type="firstRow">
      <w:pPr>
        <w:spacing w:before="0" w:after="0" w:line="240" w:lineRule="auto"/>
      </w:pPr>
      <w:rPr>
        <w:b/>
        <w:bCs/>
        <w:color w:val="FFFFFF" w:themeColor="background1"/>
      </w:rPr>
      <w:tblPr/>
      <w:tcPr>
        <w:shd w:val="clear" w:color="auto" w:fill="1C3867" w:themeFill="text2"/>
      </w:tcPr>
    </w:tblStylePr>
    <w:tblStylePr w:type="lastRow">
      <w:pPr>
        <w:spacing w:before="0" w:after="0" w:line="240" w:lineRule="auto"/>
      </w:pPr>
      <w:rPr>
        <w:b/>
        <w:bCs/>
      </w:rPr>
      <w:tblPr/>
      <w:tcPr>
        <w:tcBorders>
          <w:top w:val="single" w:sz="4" w:space="0" w:color="423A27" w:themeColor="background2" w:themeShade="80"/>
          <w:left w:val="single" w:sz="4" w:space="0" w:color="423A27" w:themeColor="background2" w:themeShade="80"/>
          <w:bottom w:val="single" w:sz="4" w:space="0" w:color="423A27" w:themeColor="background2" w:themeShade="80"/>
          <w:right w:val="single" w:sz="4" w:space="0" w:color="423A27" w:themeColor="background2" w:themeShade="80"/>
          <w:insideH w:val="single" w:sz="4" w:space="0" w:color="423A27" w:themeColor="background2" w:themeShade="80"/>
          <w:insideV w:val="single" w:sz="4" w:space="0" w:color="423A27" w:themeColor="background2" w:themeShade="80"/>
        </w:tcBorders>
        <w:shd w:val="clear" w:color="auto" w:fill="C3D3EE" w:themeFill="text2" w:themeFillTint="33"/>
      </w:tcPr>
    </w:tblStylePr>
    <w:tblStylePr w:type="firstCol">
      <w:rPr>
        <w:b w:val="0"/>
        <w:bCs/>
      </w:rPr>
      <w:tblPr/>
      <w:tcPr>
        <w:tcBorders>
          <w:top w:val="single" w:sz="4" w:space="0" w:color="423A27" w:themeColor="background2" w:themeShade="80"/>
          <w:left w:val="single" w:sz="4" w:space="0" w:color="423A27" w:themeColor="background2" w:themeShade="80"/>
          <w:bottom w:val="single" w:sz="4" w:space="0" w:color="423A27" w:themeColor="background2" w:themeShade="80"/>
          <w:right w:val="single" w:sz="4" w:space="0" w:color="423A27" w:themeColor="background2" w:themeShade="80"/>
          <w:insideH w:val="single" w:sz="4" w:space="0" w:color="423A27" w:themeColor="background2" w:themeShade="80"/>
          <w:insideV w:val="single" w:sz="4" w:space="0" w:color="423A27" w:themeColor="background2" w:themeShade="80"/>
        </w:tcBorders>
      </w:tcPr>
    </w:tblStylePr>
    <w:tblStylePr w:type="lastCol">
      <w:rPr>
        <w:b w:val="0"/>
        <w:bCs/>
      </w:rPr>
      <w:tblPr/>
      <w:tcPr>
        <w:tcBorders>
          <w:top w:val="single" w:sz="4" w:space="0" w:color="423A27" w:themeColor="background2" w:themeShade="80"/>
          <w:left w:val="single" w:sz="4" w:space="0" w:color="423A27" w:themeColor="background2" w:themeShade="80"/>
          <w:bottom w:val="single" w:sz="4" w:space="0" w:color="423A27" w:themeColor="background2" w:themeShade="80"/>
          <w:right w:val="single" w:sz="4" w:space="0" w:color="423A27" w:themeColor="background2" w:themeShade="80"/>
          <w:insideH w:val="single" w:sz="4" w:space="0" w:color="423A27" w:themeColor="background2" w:themeShade="80"/>
          <w:insideV w:val="single" w:sz="4" w:space="0" w:color="423A27" w:themeColor="background2" w:themeShade="80"/>
        </w:tcBorders>
      </w:tcPr>
    </w:tblStylePr>
    <w:tblStylePr w:type="band1Vert">
      <w:tblPr/>
      <w:tcPr>
        <w:tcBorders>
          <w:top w:val="single" w:sz="4" w:space="0" w:color="423A27" w:themeColor="background2" w:themeShade="80"/>
          <w:left w:val="single" w:sz="4" w:space="0" w:color="423A27" w:themeColor="background2" w:themeShade="80"/>
          <w:bottom w:val="single" w:sz="4" w:space="0" w:color="423A27" w:themeColor="background2" w:themeShade="80"/>
          <w:right w:val="single" w:sz="4" w:space="0" w:color="423A27" w:themeColor="background2" w:themeShade="80"/>
          <w:insideH w:val="single" w:sz="4" w:space="0" w:color="423A27" w:themeColor="background2" w:themeShade="80"/>
          <w:insideV w:val="single" w:sz="4" w:space="0" w:color="423A27" w:themeColor="background2" w:themeShade="80"/>
        </w:tcBorders>
      </w:tcPr>
    </w:tblStylePr>
    <w:tblStylePr w:type="band2Vert">
      <w:tblPr/>
      <w:tcPr>
        <w:tcBorders>
          <w:top w:val="single" w:sz="4" w:space="0" w:color="423A27" w:themeColor="background2" w:themeShade="80"/>
          <w:left w:val="single" w:sz="4" w:space="0" w:color="423A27" w:themeColor="background2" w:themeShade="80"/>
          <w:bottom w:val="single" w:sz="4" w:space="0" w:color="423A27" w:themeColor="background2" w:themeShade="80"/>
          <w:right w:val="single" w:sz="4" w:space="0" w:color="423A27" w:themeColor="background2" w:themeShade="80"/>
          <w:insideH w:val="single" w:sz="4" w:space="0" w:color="423A27" w:themeColor="background2" w:themeShade="80"/>
          <w:insideV w:val="single" w:sz="4" w:space="0" w:color="423A27" w:themeColor="background2" w:themeShade="80"/>
        </w:tcBorders>
      </w:tcPr>
    </w:tblStylePr>
    <w:tblStylePr w:type="band1Horz">
      <w:tblPr/>
      <w:tcPr>
        <w:tcBorders>
          <w:top w:val="single" w:sz="4" w:space="0" w:color="423A27" w:themeColor="background2" w:themeShade="80"/>
          <w:left w:val="single" w:sz="4" w:space="0" w:color="423A27" w:themeColor="background2" w:themeShade="80"/>
          <w:bottom w:val="single" w:sz="4" w:space="0" w:color="423A27" w:themeColor="background2" w:themeShade="80"/>
          <w:right w:val="single" w:sz="4" w:space="0" w:color="423A27" w:themeColor="background2" w:themeShade="80"/>
          <w:insideH w:val="single" w:sz="4" w:space="0" w:color="423A27" w:themeColor="background2" w:themeShade="80"/>
          <w:insideV w:val="single" w:sz="4" w:space="0" w:color="423A27" w:themeColor="background2" w:themeShade="80"/>
        </w:tcBorders>
      </w:tcPr>
    </w:tblStylePr>
    <w:tblStylePr w:type="band2Horz">
      <w:tblPr/>
      <w:tcPr>
        <w:tcBorders>
          <w:top w:val="single" w:sz="4" w:space="0" w:color="423A27" w:themeColor="background2" w:themeShade="80"/>
          <w:left w:val="single" w:sz="4" w:space="0" w:color="423A27" w:themeColor="background2" w:themeShade="80"/>
          <w:bottom w:val="single" w:sz="4" w:space="0" w:color="423A27" w:themeColor="background2" w:themeShade="80"/>
          <w:right w:val="single" w:sz="4" w:space="0" w:color="423A27" w:themeColor="background2" w:themeShade="80"/>
          <w:insideH w:val="single" w:sz="4" w:space="0" w:color="423A27" w:themeColor="background2" w:themeShade="80"/>
          <w:insideV w:val="single" w:sz="4" w:space="0" w:color="423A27" w:themeColor="background2" w:themeShade="80"/>
        </w:tcBorders>
      </w:tcPr>
    </w:tblStylePr>
  </w:style>
  <w:style w:type="paragraph" w:styleId="NoSpacing">
    <w:name w:val="No Spacing"/>
    <w:basedOn w:val="Normal"/>
    <w:link w:val="NoSpacingChar"/>
    <w:uiPriority w:val="1"/>
    <w:qFormat/>
    <w:rsid w:val="00A933B9"/>
    <w:pPr>
      <w:spacing w:after="0" w:line="240" w:lineRule="auto"/>
    </w:pPr>
    <w:rPr>
      <w:iCs/>
      <w:szCs w:val="20"/>
      <w:lang w:eastAsia="en-US"/>
    </w:rPr>
  </w:style>
  <w:style w:type="character" w:customStyle="1" w:styleId="NoSpacingChar">
    <w:name w:val="No Spacing Char"/>
    <w:basedOn w:val="DefaultParagraphFont"/>
    <w:link w:val="NoSpacing"/>
    <w:uiPriority w:val="1"/>
    <w:rsid w:val="00A933B9"/>
    <w:rPr>
      <w:iCs/>
      <w:szCs w:val="20"/>
      <w:lang w:eastAsia="en-US"/>
    </w:rPr>
  </w:style>
  <w:style w:type="table" w:customStyle="1" w:styleId="LightList-Accent121">
    <w:name w:val="Light List - Accent 121"/>
    <w:basedOn w:val="TableNormal"/>
    <w:rsid w:val="00CF7791"/>
    <w:pPr>
      <w:spacing w:after="0" w:line="240" w:lineRule="auto"/>
    </w:pPr>
    <w:rPr>
      <w:rFonts w:ascii="Calibri" w:eastAsia="Times New Roman" w:hAnsi="Calibri" w:cs="Times New Roman"/>
      <w:sz w:val="20"/>
      <w:szCs w:val="20"/>
      <w:lang w:val="en-US"/>
    </w:rPr>
    <w:tblPr>
      <w:tblStyleRowBandSize w:val="1"/>
      <w:tblStyleColBandSize w:val="1"/>
      <w:tblBorders>
        <w:top w:val="single" w:sz="4" w:space="0" w:color="948A54"/>
        <w:left w:val="single" w:sz="4" w:space="0" w:color="948A54"/>
        <w:bottom w:val="single" w:sz="4" w:space="0" w:color="948A54"/>
        <w:right w:val="single" w:sz="4" w:space="0" w:color="948A54"/>
        <w:insideH w:val="single" w:sz="4" w:space="0" w:color="948A54"/>
        <w:insideV w:val="single" w:sz="4" w:space="0" w:color="948A54"/>
      </w:tblBorders>
    </w:tblPr>
    <w:tblStylePr w:type="firstRow">
      <w:pPr>
        <w:spacing w:before="0" w:after="0" w:line="240" w:lineRule="auto"/>
        <w:jc w:val="left"/>
      </w:pPr>
      <w:rPr>
        <w:b/>
        <w:bCs/>
        <w:color w:val="FFFFFF"/>
      </w:rPr>
      <w:tblPr/>
      <w:tcPr>
        <w:shd w:val="clear" w:color="auto" w:fill="1F497D"/>
      </w:tcPr>
    </w:tblStylePr>
    <w:tblStylePr w:type="lastRow">
      <w:pPr>
        <w:spacing w:before="0" w:after="0" w:line="240" w:lineRule="auto"/>
      </w:pPr>
      <w:rPr>
        <w:b/>
        <w:bCs/>
      </w:rPr>
      <w:tblPr/>
      <w:tcPr>
        <w:shd w:val="clear" w:color="auto" w:fill="C6D9F1"/>
      </w:tcPr>
    </w:tblStylePr>
    <w:tblStylePr w:type="firstCol">
      <w:rPr>
        <w:b w:val="0"/>
        <w:bCs/>
      </w:rPr>
      <w:tblPr/>
      <w:tcPr>
        <w:tcBorders>
          <w:top w:val="single" w:sz="4" w:space="0" w:color="948A54"/>
          <w:left w:val="single" w:sz="4" w:space="0" w:color="948A54"/>
          <w:bottom w:val="single" w:sz="4" w:space="0" w:color="948A54"/>
          <w:right w:val="single" w:sz="4" w:space="0" w:color="948A54"/>
          <w:insideH w:val="single" w:sz="4" w:space="0" w:color="948A54"/>
          <w:insideV w:val="single" w:sz="4" w:space="0" w:color="948A54"/>
        </w:tcBorders>
      </w:tcPr>
    </w:tblStylePr>
    <w:tblStylePr w:type="lastCol">
      <w:rPr>
        <w:b w:val="0"/>
        <w:bCs/>
      </w:rPr>
      <w:tblPr/>
      <w:tcPr>
        <w:tcBorders>
          <w:top w:val="single" w:sz="4" w:space="0" w:color="948A54"/>
          <w:left w:val="single" w:sz="4" w:space="0" w:color="948A54"/>
          <w:bottom w:val="single" w:sz="4" w:space="0" w:color="948A54"/>
          <w:right w:val="single" w:sz="4" w:space="0" w:color="948A54"/>
          <w:insideH w:val="single" w:sz="4" w:space="0" w:color="948A54"/>
          <w:insideV w:val="single" w:sz="4" w:space="0" w:color="948A54"/>
        </w:tcBorders>
      </w:tcPr>
    </w:tblStylePr>
    <w:tblStylePr w:type="band1Vert">
      <w:tblPr/>
      <w:tcPr>
        <w:tcBorders>
          <w:top w:val="single" w:sz="4" w:space="0" w:color="948A54"/>
          <w:left w:val="single" w:sz="4" w:space="0" w:color="948A54"/>
          <w:bottom w:val="single" w:sz="4" w:space="0" w:color="948A54"/>
          <w:right w:val="single" w:sz="4" w:space="0" w:color="948A54"/>
          <w:insideH w:val="single" w:sz="4" w:space="0" w:color="948A54"/>
          <w:insideV w:val="single" w:sz="4" w:space="0" w:color="948A54"/>
        </w:tcBorders>
      </w:tcPr>
    </w:tblStylePr>
    <w:tblStylePr w:type="band2Vert">
      <w:tblPr/>
      <w:tcPr>
        <w:tcBorders>
          <w:top w:val="single" w:sz="4" w:space="0" w:color="948A54"/>
          <w:left w:val="single" w:sz="4" w:space="0" w:color="948A54"/>
          <w:bottom w:val="single" w:sz="4" w:space="0" w:color="948A54"/>
          <w:right w:val="single" w:sz="4" w:space="0" w:color="948A54"/>
          <w:insideH w:val="single" w:sz="4" w:space="0" w:color="948A54"/>
          <w:insideV w:val="single" w:sz="4" w:space="0" w:color="948A54"/>
        </w:tcBorders>
      </w:tcPr>
    </w:tblStylePr>
    <w:tblStylePr w:type="band1Horz">
      <w:tblPr/>
      <w:tcPr>
        <w:tcBorders>
          <w:top w:val="single" w:sz="4" w:space="0" w:color="948A54"/>
          <w:left w:val="single" w:sz="4" w:space="0" w:color="948A54"/>
          <w:bottom w:val="single" w:sz="4" w:space="0" w:color="948A54"/>
          <w:right w:val="single" w:sz="4" w:space="0" w:color="948A54"/>
          <w:insideH w:val="single" w:sz="4" w:space="0" w:color="948A54"/>
          <w:insideV w:val="single" w:sz="4" w:space="0" w:color="948A54"/>
        </w:tcBorders>
      </w:tcPr>
    </w:tblStylePr>
    <w:tblStylePr w:type="band2Horz">
      <w:tblPr/>
      <w:tcPr>
        <w:tcBorders>
          <w:top w:val="single" w:sz="4" w:space="0" w:color="948A54"/>
          <w:left w:val="single" w:sz="4" w:space="0" w:color="948A54"/>
          <w:bottom w:val="single" w:sz="4" w:space="0" w:color="948A54"/>
          <w:right w:val="single" w:sz="4" w:space="0" w:color="948A54"/>
          <w:insideH w:val="single" w:sz="4" w:space="0" w:color="948A54"/>
          <w:insideV w:val="single" w:sz="4" w:space="0" w:color="948A54"/>
        </w:tcBorders>
      </w:tcPr>
    </w:tblStylePr>
  </w:style>
  <w:style w:type="table" w:customStyle="1" w:styleId="LightList-Accent112">
    <w:name w:val="Light List - Accent 112"/>
    <w:basedOn w:val="TableNormal"/>
    <w:rsid w:val="005970B1"/>
    <w:pPr>
      <w:spacing w:after="0" w:line="240" w:lineRule="auto"/>
    </w:pPr>
    <w:rPr>
      <w:rFonts w:ascii="Calibri" w:eastAsia="Times New Roman" w:hAnsi="Calibri" w:cs="Times New Roman"/>
      <w:sz w:val="20"/>
      <w:szCs w:val="20"/>
      <w:lang w:val="en-US"/>
    </w:rPr>
    <w:tblPr>
      <w:tblStyleRowBandSize w:val="1"/>
      <w:tblStyleColBandSize w:val="1"/>
      <w:tblBorders>
        <w:top w:val="single" w:sz="4" w:space="0" w:color="423A27" w:themeColor="background2" w:themeShade="80"/>
        <w:left w:val="single" w:sz="4" w:space="0" w:color="423A27" w:themeColor="background2" w:themeShade="80"/>
        <w:bottom w:val="single" w:sz="4" w:space="0" w:color="423A27" w:themeColor="background2" w:themeShade="80"/>
        <w:right w:val="single" w:sz="4" w:space="0" w:color="423A27" w:themeColor="background2" w:themeShade="80"/>
        <w:insideH w:val="single" w:sz="4" w:space="0" w:color="423A27" w:themeColor="background2" w:themeShade="80"/>
        <w:insideV w:val="single" w:sz="4" w:space="0" w:color="423A27" w:themeColor="background2" w:themeShade="80"/>
      </w:tblBorders>
    </w:tblPr>
    <w:tblStylePr w:type="firstRow">
      <w:pPr>
        <w:spacing w:before="0" w:after="0" w:line="240" w:lineRule="auto"/>
      </w:pPr>
      <w:rPr>
        <w:b/>
        <w:bCs/>
        <w:color w:val="FFFFFF" w:themeColor="background1"/>
      </w:rPr>
      <w:tblPr/>
      <w:tcPr>
        <w:shd w:val="clear" w:color="auto" w:fill="1C3867" w:themeFill="text2"/>
      </w:tcPr>
    </w:tblStylePr>
    <w:tblStylePr w:type="lastRow">
      <w:pPr>
        <w:spacing w:before="0" w:after="0" w:line="240" w:lineRule="auto"/>
      </w:pPr>
      <w:rPr>
        <w:b/>
        <w:bCs/>
      </w:rPr>
      <w:tblPr/>
      <w:tcPr>
        <w:tcBorders>
          <w:top w:val="single" w:sz="4" w:space="0" w:color="423A27" w:themeColor="background2" w:themeShade="80"/>
          <w:left w:val="single" w:sz="4" w:space="0" w:color="423A27" w:themeColor="background2" w:themeShade="80"/>
          <w:bottom w:val="single" w:sz="4" w:space="0" w:color="423A27" w:themeColor="background2" w:themeShade="80"/>
          <w:right w:val="single" w:sz="4" w:space="0" w:color="423A27" w:themeColor="background2" w:themeShade="80"/>
          <w:insideH w:val="single" w:sz="4" w:space="0" w:color="423A27" w:themeColor="background2" w:themeShade="80"/>
          <w:insideV w:val="single" w:sz="4" w:space="0" w:color="423A27" w:themeColor="background2" w:themeShade="80"/>
        </w:tcBorders>
        <w:shd w:val="clear" w:color="auto" w:fill="C3D3EE" w:themeFill="text2" w:themeFillTint="33"/>
      </w:tcPr>
    </w:tblStylePr>
    <w:tblStylePr w:type="firstCol">
      <w:rPr>
        <w:b w:val="0"/>
        <w:bCs/>
      </w:rPr>
      <w:tblPr/>
      <w:tcPr>
        <w:tcBorders>
          <w:top w:val="single" w:sz="4" w:space="0" w:color="423A27" w:themeColor="background2" w:themeShade="80"/>
          <w:left w:val="single" w:sz="4" w:space="0" w:color="423A27" w:themeColor="background2" w:themeShade="80"/>
          <w:bottom w:val="single" w:sz="4" w:space="0" w:color="423A27" w:themeColor="background2" w:themeShade="80"/>
          <w:right w:val="single" w:sz="4" w:space="0" w:color="423A27" w:themeColor="background2" w:themeShade="80"/>
          <w:insideH w:val="single" w:sz="4" w:space="0" w:color="423A27" w:themeColor="background2" w:themeShade="80"/>
          <w:insideV w:val="single" w:sz="4" w:space="0" w:color="423A27" w:themeColor="background2" w:themeShade="80"/>
        </w:tcBorders>
      </w:tcPr>
    </w:tblStylePr>
    <w:tblStylePr w:type="lastCol">
      <w:rPr>
        <w:b w:val="0"/>
        <w:bCs/>
      </w:rPr>
      <w:tblPr/>
      <w:tcPr>
        <w:tcBorders>
          <w:top w:val="single" w:sz="4" w:space="0" w:color="423A27" w:themeColor="background2" w:themeShade="80"/>
          <w:left w:val="single" w:sz="4" w:space="0" w:color="423A27" w:themeColor="background2" w:themeShade="80"/>
          <w:bottom w:val="single" w:sz="4" w:space="0" w:color="423A27" w:themeColor="background2" w:themeShade="80"/>
          <w:right w:val="single" w:sz="4" w:space="0" w:color="423A27" w:themeColor="background2" w:themeShade="80"/>
          <w:insideH w:val="single" w:sz="4" w:space="0" w:color="423A27" w:themeColor="background2" w:themeShade="80"/>
          <w:insideV w:val="single" w:sz="4" w:space="0" w:color="423A27" w:themeColor="background2" w:themeShade="80"/>
        </w:tcBorders>
      </w:tcPr>
    </w:tblStylePr>
    <w:tblStylePr w:type="band1Vert">
      <w:tblPr/>
      <w:tcPr>
        <w:tcBorders>
          <w:top w:val="single" w:sz="4" w:space="0" w:color="423A27" w:themeColor="background2" w:themeShade="80"/>
          <w:left w:val="single" w:sz="4" w:space="0" w:color="423A27" w:themeColor="background2" w:themeShade="80"/>
          <w:bottom w:val="single" w:sz="4" w:space="0" w:color="423A27" w:themeColor="background2" w:themeShade="80"/>
          <w:right w:val="single" w:sz="4" w:space="0" w:color="423A27" w:themeColor="background2" w:themeShade="80"/>
          <w:insideH w:val="single" w:sz="4" w:space="0" w:color="423A27" w:themeColor="background2" w:themeShade="80"/>
          <w:insideV w:val="single" w:sz="4" w:space="0" w:color="423A27" w:themeColor="background2" w:themeShade="80"/>
        </w:tcBorders>
      </w:tcPr>
    </w:tblStylePr>
    <w:tblStylePr w:type="band2Vert">
      <w:tblPr/>
      <w:tcPr>
        <w:tcBorders>
          <w:top w:val="single" w:sz="4" w:space="0" w:color="423A27" w:themeColor="background2" w:themeShade="80"/>
          <w:left w:val="single" w:sz="4" w:space="0" w:color="423A27" w:themeColor="background2" w:themeShade="80"/>
          <w:bottom w:val="single" w:sz="4" w:space="0" w:color="423A27" w:themeColor="background2" w:themeShade="80"/>
          <w:right w:val="single" w:sz="4" w:space="0" w:color="423A27" w:themeColor="background2" w:themeShade="80"/>
          <w:insideH w:val="single" w:sz="4" w:space="0" w:color="423A27" w:themeColor="background2" w:themeShade="80"/>
          <w:insideV w:val="single" w:sz="4" w:space="0" w:color="423A27" w:themeColor="background2" w:themeShade="80"/>
        </w:tcBorders>
      </w:tcPr>
    </w:tblStylePr>
    <w:tblStylePr w:type="band1Horz">
      <w:tblPr/>
      <w:tcPr>
        <w:tcBorders>
          <w:top w:val="single" w:sz="4" w:space="0" w:color="423A27" w:themeColor="background2" w:themeShade="80"/>
          <w:left w:val="single" w:sz="4" w:space="0" w:color="423A27" w:themeColor="background2" w:themeShade="80"/>
          <w:bottom w:val="single" w:sz="4" w:space="0" w:color="423A27" w:themeColor="background2" w:themeShade="80"/>
          <w:right w:val="single" w:sz="4" w:space="0" w:color="423A27" w:themeColor="background2" w:themeShade="80"/>
          <w:insideH w:val="single" w:sz="4" w:space="0" w:color="423A27" w:themeColor="background2" w:themeShade="80"/>
          <w:insideV w:val="single" w:sz="4" w:space="0" w:color="423A27" w:themeColor="background2" w:themeShade="80"/>
        </w:tcBorders>
      </w:tcPr>
    </w:tblStylePr>
    <w:tblStylePr w:type="band2Horz">
      <w:tblPr/>
      <w:tcPr>
        <w:tcBorders>
          <w:top w:val="single" w:sz="4" w:space="0" w:color="423A27" w:themeColor="background2" w:themeShade="80"/>
          <w:left w:val="single" w:sz="4" w:space="0" w:color="423A27" w:themeColor="background2" w:themeShade="80"/>
          <w:bottom w:val="single" w:sz="4" w:space="0" w:color="423A27" w:themeColor="background2" w:themeShade="80"/>
          <w:right w:val="single" w:sz="4" w:space="0" w:color="423A27" w:themeColor="background2" w:themeShade="80"/>
          <w:insideH w:val="single" w:sz="4" w:space="0" w:color="423A27" w:themeColor="background2" w:themeShade="80"/>
          <w:insideV w:val="single" w:sz="4" w:space="0" w:color="423A27" w:themeColor="background2" w:themeShade="80"/>
        </w:tcBorders>
      </w:tcPr>
    </w:tblStylePr>
  </w:style>
  <w:style w:type="paragraph" w:styleId="ListNumber">
    <w:name w:val="List Number"/>
    <w:basedOn w:val="Normal"/>
    <w:uiPriority w:val="99"/>
    <w:unhideWhenUsed/>
    <w:qFormat/>
    <w:rsid w:val="003F48A6"/>
    <w:pPr>
      <w:numPr>
        <w:numId w:val="4"/>
      </w:numPr>
      <w:contextualSpacing/>
    </w:pPr>
  </w:style>
  <w:style w:type="paragraph" w:customStyle="1" w:styleId="Spacer-1px">
    <w:name w:val="Spacer - 1px"/>
    <w:basedOn w:val="Normal"/>
    <w:rsid w:val="000F52AB"/>
    <w:pPr>
      <w:spacing w:before="0" w:after="0" w:line="240" w:lineRule="auto"/>
    </w:pPr>
    <w:rPr>
      <w:noProof/>
      <w:sz w:val="2"/>
      <w:szCs w:val="2"/>
    </w:rPr>
  </w:style>
  <w:style w:type="paragraph" w:styleId="Subtitle">
    <w:name w:val="Subtitle"/>
    <w:basedOn w:val="Normal"/>
    <w:next w:val="Normal"/>
    <w:link w:val="SubtitleChar"/>
    <w:uiPriority w:val="11"/>
    <w:qFormat/>
    <w:rsid w:val="00F07E81"/>
    <w:pPr>
      <w:spacing w:before="60" w:after="0" w:line="216" w:lineRule="auto"/>
    </w:pPr>
    <w:rPr>
      <w:sz w:val="23"/>
    </w:rPr>
  </w:style>
  <w:style w:type="character" w:customStyle="1" w:styleId="SubtitleChar">
    <w:name w:val="Subtitle Char"/>
    <w:basedOn w:val="DefaultParagraphFont"/>
    <w:link w:val="Subtitle"/>
    <w:uiPriority w:val="11"/>
    <w:rsid w:val="00F07E81"/>
    <w:rPr>
      <w:sz w:val="23"/>
    </w:rPr>
  </w:style>
  <w:style w:type="paragraph" w:customStyle="1" w:styleId="Spacer-cover">
    <w:name w:val="Spacer - cover"/>
    <w:basedOn w:val="Normal"/>
    <w:rsid w:val="005672D8"/>
    <w:pPr>
      <w:spacing w:after="9960"/>
    </w:pPr>
  </w:style>
  <w:style w:type="paragraph" w:customStyle="1" w:styleId="Coverservicesboxtext">
    <w:name w:val="Cover services box text"/>
    <w:basedOn w:val="Normal"/>
    <w:rsid w:val="00546F37"/>
    <w:pPr>
      <w:spacing w:before="0" w:after="0"/>
      <w:jc w:val="center"/>
    </w:pPr>
    <w:rPr>
      <w:b/>
      <w:caps/>
      <w:color w:val="FFFFFF" w:themeColor="background1"/>
      <w:sz w:val="27"/>
      <w:szCs w:val="27"/>
    </w:rPr>
  </w:style>
  <w:style w:type="paragraph" w:customStyle="1" w:styleId="Covercontactdetails">
    <w:name w:val="Cover contact details"/>
    <w:basedOn w:val="Normal"/>
    <w:rsid w:val="00050628"/>
    <w:pPr>
      <w:spacing w:before="0" w:after="0" w:line="240" w:lineRule="auto"/>
      <w:ind w:left="-142" w:right="-228"/>
      <w:jc w:val="center"/>
    </w:pPr>
    <w:rPr>
      <w:rFonts w:ascii="Calibri Light" w:hAnsi="Calibri Light"/>
      <w:sz w:val="21"/>
      <w:szCs w:val="21"/>
    </w:rPr>
  </w:style>
  <w:style w:type="paragraph" w:customStyle="1" w:styleId="Covercontactheading">
    <w:name w:val="Cover contact heading"/>
    <w:basedOn w:val="Covercontactdetails"/>
    <w:rsid w:val="00050628"/>
    <w:rPr>
      <w:sz w:val="23"/>
      <w:szCs w:val="23"/>
    </w:rPr>
  </w:style>
  <w:style w:type="character" w:customStyle="1" w:styleId="BoldBlue">
    <w:name w:val="Bold + Blue"/>
    <w:basedOn w:val="DefaultParagraphFont"/>
    <w:uiPriority w:val="1"/>
    <w:qFormat/>
    <w:rsid w:val="00050628"/>
    <w:rPr>
      <w:b/>
      <w:color w:val="1C3867" w:themeColor="text2"/>
    </w:rPr>
  </w:style>
  <w:style w:type="character" w:customStyle="1" w:styleId="Blue">
    <w:name w:val="Blue"/>
    <w:basedOn w:val="DefaultParagraphFont"/>
    <w:uiPriority w:val="1"/>
    <w:qFormat/>
    <w:rsid w:val="00D9079F"/>
    <w:rPr>
      <w:color w:val="1C3867" w:themeColor="text2"/>
    </w:rPr>
  </w:style>
  <w:style w:type="paragraph" w:customStyle="1" w:styleId="Coverheader">
    <w:name w:val="Cover header"/>
    <w:basedOn w:val="Header"/>
    <w:rsid w:val="00076007"/>
    <w:pPr>
      <w:ind w:right="0"/>
    </w:pPr>
    <w:rPr>
      <w:noProof/>
    </w:rPr>
  </w:style>
  <w:style w:type="character" w:styleId="PageNumber">
    <w:name w:val="page number"/>
    <w:uiPriority w:val="99"/>
    <w:unhideWhenUsed/>
    <w:rsid w:val="00B27AAF"/>
    <w:rPr>
      <w:color w:val="1C3867" w:themeColor="text2"/>
    </w:rPr>
  </w:style>
  <w:style w:type="paragraph" w:customStyle="1" w:styleId="CoverpageTitle">
    <w:name w:val="Coverpage Title"/>
    <w:basedOn w:val="Normal"/>
    <w:rsid w:val="003F65C3"/>
    <w:pPr>
      <w:spacing w:after="240"/>
    </w:pPr>
    <w:rPr>
      <w:rFonts w:ascii="Calibri Light" w:hAnsi="Calibri Light"/>
      <w:sz w:val="64"/>
      <w:szCs w:val="64"/>
    </w:rPr>
  </w:style>
  <w:style w:type="paragraph" w:customStyle="1" w:styleId="CoverpageSubtitle">
    <w:name w:val="Coverpage Subtitle"/>
    <w:basedOn w:val="Normal"/>
    <w:rsid w:val="00D467FF"/>
    <w:pPr>
      <w:spacing w:before="0" w:after="120" w:line="240" w:lineRule="auto"/>
      <w:ind w:right="346"/>
    </w:pPr>
    <w:rPr>
      <w:rFonts w:ascii="Calibri Light" w:eastAsia="Times New Roman" w:hAnsi="Calibri Light" w:cs="Times New Roman"/>
      <w:noProof/>
      <w:sz w:val="26"/>
      <w:szCs w:val="26"/>
      <w:lang w:val="en-US"/>
    </w:rPr>
  </w:style>
  <w:style w:type="paragraph" w:customStyle="1" w:styleId="CoverpageContactDetails">
    <w:name w:val="Coverpage Contact Details"/>
    <w:basedOn w:val="Normal"/>
    <w:rsid w:val="00D467FF"/>
    <w:pPr>
      <w:tabs>
        <w:tab w:val="left" w:pos="882"/>
      </w:tabs>
      <w:spacing w:before="0" w:after="120" w:line="240" w:lineRule="auto"/>
    </w:pPr>
    <w:rPr>
      <w:rFonts w:ascii="Calibri" w:eastAsia="Times New Roman" w:hAnsi="Calibri" w:cs="Times New Roman"/>
      <w:szCs w:val="20"/>
      <w:lang w:val="en-US"/>
    </w:rPr>
  </w:style>
  <w:style w:type="paragraph" w:styleId="TOCHeading">
    <w:name w:val="TOC Heading"/>
    <w:basedOn w:val="Normal"/>
    <w:next w:val="Normal"/>
    <w:uiPriority w:val="39"/>
    <w:unhideWhenUsed/>
    <w:rsid w:val="00546F37"/>
    <w:pPr>
      <w:spacing w:before="0" w:after="240" w:line="500" w:lineRule="exact"/>
    </w:pPr>
    <w:rPr>
      <w:b/>
      <w:caps/>
      <w:color w:val="1C3867" w:themeColor="text2"/>
      <w:sz w:val="48"/>
      <w:szCs w:val="48"/>
    </w:rPr>
  </w:style>
  <w:style w:type="paragraph" w:styleId="TOC1">
    <w:name w:val="toc 1"/>
    <w:basedOn w:val="DividerPageTitle"/>
    <w:next w:val="Normal"/>
    <w:autoRedefine/>
    <w:uiPriority w:val="39"/>
    <w:unhideWhenUsed/>
    <w:rsid w:val="00CB141D"/>
    <w:pPr>
      <w:pBdr>
        <w:between w:val="single" w:sz="4" w:space="1" w:color="85754E" w:themeColor="background2"/>
      </w:pBdr>
      <w:tabs>
        <w:tab w:val="right" w:pos="9072"/>
      </w:tabs>
      <w:spacing w:before="120" w:after="60"/>
      <w:ind w:left="0" w:right="1655" w:firstLine="0"/>
    </w:pPr>
    <w:rPr>
      <w:b w:val="0"/>
      <w:noProof/>
      <w:color w:val="85754E" w:themeColor="accent2"/>
      <w:sz w:val="26"/>
    </w:rPr>
  </w:style>
  <w:style w:type="character" w:styleId="Hyperlink">
    <w:name w:val="Hyperlink"/>
    <w:basedOn w:val="DefaultParagraphFont"/>
    <w:uiPriority w:val="99"/>
    <w:unhideWhenUsed/>
    <w:rsid w:val="00546F37"/>
    <w:rPr>
      <w:color w:val="414042" w:themeColor="hyperlink"/>
      <w:u w:val="single"/>
    </w:rPr>
  </w:style>
  <w:style w:type="table" w:styleId="ListTable3-Accent1">
    <w:name w:val="List Table 3 Accent 1"/>
    <w:basedOn w:val="TableNormal"/>
    <w:uiPriority w:val="48"/>
    <w:rsid w:val="00B94863"/>
    <w:pPr>
      <w:spacing w:after="0" w:line="240" w:lineRule="auto"/>
    </w:pPr>
    <w:tblPr>
      <w:tblStyleRowBandSize w:val="1"/>
      <w:tblStyleColBandSize w:val="1"/>
      <w:tblBorders>
        <w:top w:val="single" w:sz="4" w:space="0" w:color="1C3867" w:themeColor="accent1"/>
        <w:left w:val="single" w:sz="4" w:space="0" w:color="1C3867" w:themeColor="accent1"/>
        <w:bottom w:val="single" w:sz="4" w:space="0" w:color="1C3867" w:themeColor="accent1"/>
        <w:right w:val="single" w:sz="4" w:space="0" w:color="1C3867" w:themeColor="accent1"/>
      </w:tblBorders>
    </w:tblPr>
    <w:tblStylePr w:type="firstRow">
      <w:rPr>
        <w:b/>
        <w:bCs/>
        <w:color w:val="FFFFFF" w:themeColor="background1"/>
      </w:rPr>
      <w:tblPr/>
      <w:tcPr>
        <w:shd w:val="clear" w:color="auto" w:fill="1C3867" w:themeFill="accent1"/>
      </w:tcPr>
    </w:tblStylePr>
    <w:tblStylePr w:type="lastRow">
      <w:rPr>
        <w:b/>
        <w:bCs/>
      </w:rPr>
      <w:tblPr/>
      <w:tcPr>
        <w:tcBorders>
          <w:top w:val="double" w:sz="4" w:space="0" w:color="1C3867"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C3867" w:themeColor="accent1"/>
          <w:right w:val="single" w:sz="4" w:space="0" w:color="1C3867" w:themeColor="accent1"/>
        </w:tcBorders>
      </w:tcPr>
    </w:tblStylePr>
    <w:tblStylePr w:type="band1Horz">
      <w:tblPr/>
      <w:tcPr>
        <w:tcBorders>
          <w:top w:val="single" w:sz="4" w:space="0" w:color="1C3867" w:themeColor="accent1"/>
          <w:bottom w:val="single" w:sz="4" w:space="0" w:color="1C3867"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C3867" w:themeColor="accent1"/>
          <w:left w:val="nil"/>
        </w:tcBorders>
      </w:tcPr>
    </w:tblStylePr>
    <w:tblStylePr w:type="swCell">
      <w:tblPr/>
      <w:tcPr>
        <w:tcBorders>
          <w:top w:val="double" w:sz="4" w:space="0" w:color="1C3867" w:themeColor="accent1"/>
          <w:right w:val="nil"/>
        </w:tcBorders>
      </w:tcPr>
    </w:tblStylePr>
  </w:style>
  <w:style w:type="table" w:customStyle="1" w:styleId="HNWTable01">
    <w:name w:val="HNW Table 01"/>
    <w:basedOn w:val="TableNormal"/>
    <w:uiPriority w:val="99"/>
    <w:rsid w:val="00EC6793"/>
    <w:pPr>
      <w:spacing w:before="40" w:after="40"/>
    </w:pPr>
    <w:tblPr>
      <w:tblBorders>
        <w:bottom w:val="single" w:sz="4" w:space="0" w:color="85754E" w:themeColor="background2"/>
        <w:insideH w:val="single" w:sz="4" w:space="0" w:color="85754E" w:themeColor="background2"/>
      </w:tblBorders>
    </w:tblPr>
    <w:tblStylePr w:type="firstRow">
      <w:rPr>
        <w:b/>
        <w:color w:val="FFFFFF" w:themeColor="background1"/>
      </w:rPr>
      <w:tblPr>
        <w:tblCellMar>
          <w:top w:w="0" w:type="dxa"/>
          <w:left w:w="85" w:type="dxa"/>
          <w:bottom w:w="0" w:type="dxa"/>
          <w:right w:w="85" w:type="dxa"/>
        </w:tblCellMar>
      </w:tblPr>
      <w:tcPr>
        <w:tcBorders>
          <w:top w:val="nil"/>
          <w:left w:val="nil"/>
          <w:bottom w:val="nil"/>
          <w:right w:val="nil"/>
          <w:insideH w:val="nil"/>
          <w:insideV w:val="single" w:sz="4" w:space="0" w:color="FFFFFF" w:themeColor="background1"/>
          <w:tl2br w:val="nil"/>
          <w:tr2bl w:val="nil"/>
        </w:tcBorders>
        <w:shd w:val="clear" w:color="auto" w:fill="1C3867" w:themeFill="text2"/>
      </w:tcPr>
    </w:tblStylePr>
    <w:tblStylePr w:type="lastRow">
      <w:rPr>
        <w:b/>
      </w:rPr>
      <w:tblPr/>
      <w:tcPr>
        <w:tcBorders>
          <w:bottom w:val="single" w:sz="4" w:space="0" w:color="85754E" w:themeColor="background2"/>
        </w:tcBorders>
        <w:shd w:val="clear" w:color="auto" w:fill="F3F1ED" w:themeFill="accent6"/>
      </w:tcPr>
    </w:tblStylePr>
    <w:tblStylePr w:type="firstCol">
      <w:rPr>
        <w:b/>
        <w:color w:val="FFFFFF" w:themeColor="background1"/>
      </w:rPr>
      <w:tblPr/>
      <w:tcPr>
        <w:tcBorders>
          <w:bottom w:val="nil"/>
          <w:insideH w:val="dotted" w:sz="4" w:space="0" w:color="FFFFFF" w:themeColor="background1"/>
        </w:tcBorders>
        <w:shd w:val="clear" w:color="auto" w:fill="1C3867" w:themeFill="text2"/>
      </w:tcPr>
    </w:tblStylePr>
  </w:style>
  <w:style w:type="paragraph" w:customStyle="1" w:styleId="DividerPageTitle">
    <w:name w:val="Divider Page Title"/>
    <w:basedOn w:val="Title"/>
    <w:qFormat/>
    <w:rsid w:val="00AE7144"/>
    <w:pPr>
      <w:ind w:left="4536" w:right="-472" w:hanging="4962"/>
    </w:pPr>
    <w:rPr>
      <w:rFonts w:asciiTheme="majorHAnsi" w:hAnsiTheme="majorHAnsi"/>
      <w:b/>
    </w:rPr>
  </w:style>
  <w:style w:type="paragraph" w:styleId="ListNumber2">
    <w:name w:val="List Number 2"/>
    <w:basedOn w:val="Normal"/>
    <w:uiPriority w:val="99"/>
    <w:unhideWhenUsed/>
    <w:qFormat/>
    <w:rsid w:val="000B4975"/>
    <w:pPr>
      <w:numPr>
        <w:numId w:val="5"/>
      </w:numPr>
      <w:ind w:left="714" w:hanging="357"/>
      <w:contextualSpacing/>
    </w:pPr>
  </w:style>
  <w:style w:type="paragraph" w:styleId="ListBullet2">
    <w:name w:val="List Bullet 2"/>
    <w:basedOn w:val="Normal"/>
    <w:uiPriority w:val="99"/>
    <w:unhideWhenUsed/>
    <w:qFormat/>
    <w:rsid w:val="000B4975"/>
    <w:pPr>
      <w:numPr>
        <w:numId w:val="3"/>
      </w:numPr>
      <w:ind w:left="714" w:hanging="357"/>
      <w:contextualSpacing/>
    </w:pPr>
  </w:style>
  <w:style w:type="paragraph" w:customStyle="1" w:styleId="DividerPageNumber">
    <w:name w:val="Divider Page Number"/>
    <w:basedOn w:val="DividerPageTitle"/>
    <w:qFormat/>
    <w:rsid w:val="003C5147"/>
    <w:pPr>
      <w:spacing w:before="240" w:after="0"/>
    </w:pPr>
    <w:rPr>
      <w:rFonts w:ascii="Calibri Light" w:hAnsi="Calibri Light"/>
      <w:b w:val="0"/>
      <w:color w:val="C2B8A4" w:themeColor="accent6" w:themeShade="BF"/>
      <w:sz w:val="100"/>
      <w:szCs w:val="100"/>
    </w:rPr>
  </w:style>
  <w:style w:type="paragraph" w:styleId="TOC2">
    <w:name w:val="toc 2"/>
    <w:basedOn w:val="Normal"/>
    <w:next w:val="Normal"/>
    <w:autoRedefine/>
    <w:uiPriority w:val="39"/>
    <w:unhideWhenUsed/>
    <w:rsid w:val="00CB141D"/>
    <w:pPr>
      <w:tabs>
        <w:tab w:val="right" w:pos="7371"/>
      </w:tabs>
      <w:ind w:left="220" w:right="1655"/>
    </w:pPr>
  </w:style>
  <w:style w:type="table" w:customStyle="1" w:styleId="LightList-Accent113">
    <w:name w:val="Light List - Accent 113"/>
    <w:basedOn w:val="TableNormal"/>
    <w:rsid w:val="00EA5C5F"/>
    <w:pPr>
      <w:spacing w:before="0" w:after="0" w:line="240" w:lineRule="auto"/>
    </w:pPr>
    <w:rPr>
      <w:rFonts w:ascii="Calibri" w:eastAsia="Times New Roman" w:hAnsi="Calibri" w:cs="Times New Roman"/>
      <w:color w:val="auto"/>
      <w:sz w:val="20"/>
      <w:szCs w:val="20"/>
      <w:lang w:val="en-US"/>
    </w:rPr>
    <w:tblPr>
      <w:tblStyleRowBandSize w:val="1"/>
      <w:tblStyleColBandSize w:val="1"/>
      <w:tblBorders>
        <w:top w:val="single" w:sz="4" w:space="0" w:color="948A54"/>
        <w:left w:val="single" w:sz="4" w:space="0" w:color="948A54"/>
        <w:bottom w:val="single" w:sz="4" w:space="0" w:color="948A54"/>
        <w:right w:val="single" w:sz="4" w:space="0" w:color="948A54"/>
        <w:insideH w:val="single" w:sz="4" w:space="0" w:color="948A54"/>
        <w:insideV w:val="single" w:sz="4" w:space="0" w:color="948A54"/>
      </w:tblBorders>
    </w:tblPr>
    <w:tblStylePr w:type="firstRow">
      <w:pPr>
        <w:spacing w:before="0" w:after="0" w:line="240" w:lineRule="auto"/>
      </w:pPr>
      <w:rPr>
        <w:b/>
        <w:bCs/>
        <w:color w:val="FFFFFF"/>
      </w:rPr>
      <w:tblPr/>
      <w:tcPr>
        <w:shd w:val="clear" w:color="auto" w:fill="1F497D"/>
      </w:tcPr>
    </w:tblStylePr>
    <w:tblStylePr w:type="lastRow">
      <w:pPr>
        <w:spacing w:before="0" w:after="0" w:line="240" w:lineRule="auto"/>
      </w:pPr>
      <w:rPr>
        <w:b/>
        <w:bCs/>
      </w:rPr>
      <w:tblPr/>
      <w:tcPr>
        <w:tcBorders>
          <w:top w:val="single" w:sz="4" w:space="0" w:color="948A54"/>
          <w:left w:val="single" w:sz="4" w:space="0" w:color="948A54"/>
          <w:bottom w:val="single" w:sz="4" w:space="0" w:color="948A54"/>
          <w:right w:val="single" w:sz="4" w:space="0" w:color="948A54"/>
          <w:insideH w:val="single" w:sz="4" w:space="0" w:color="948A54"/>
          <w:insideV w:val="single" w:sz="4" w:space="0" w:color="948A54"/>
        </w:tcBorders>
        <w:shd w:val="clear" w:color="auto" w:fill="C6D9F1"/>
      </w:tcPr>
    </w:tblStylePr>
    <w:tblStylePr w:type="firstCol">
      <w:rPr>
        <w:b w:val="0"/>
        <w:bCs/>
      </w:rPr>
      <w:tblPr/>
      <w:tcPr>
        <w:tcBorders>
          <w:top w:val="single" w:sz="4" w:space="0" w:color="948A54"/>
          <w:left w:val="single" w:sz="4" w:space="0" w:color="948A54"/>
          <w:bottom w:val="single" w:sz="4" w:space="0" w:color="948A54"/>
          <w:right w:val="single" w:sz="4" w:space="0" w:color="948A54"/>
          <w:insideH w:val="single" w:sz="4" w:space="0" w:color="948A54"/>
          <w:insideV w:val="single" w:sz="4" w:space="0" w:color="948A54"/>
        </w:tcBorders>
      </w:tcPr>
    </w:tblStylePr>
    <w:tblStylePr w:type="lastCol">
      <w:rPr>
        <w:b w:val="0"/>
        <w:bCs/>
      </w:rPr>
      <w:tblPr/>
      <w:tcPr>
        <w:tcBorders>
          <w:top w:val="single" w:sz="4" w:space="0" w:color="948A54"/>
          <w:left w:val="single" w:sz="4" w:space="0" w:color="948A54"/>
          <w:bottom w:val="single" w:sz="4" w:space="0" w:color="948A54"/>
          <w:right w:val="single" w:sz="4" w:space="0" w:color="948A54"/>
          <w:insideH w:val="single" w:sz="4" w:space="0" w:color="948A54"/>
          <w:insideV w:val="single" w:sz="4" w:space="0" w:color="948A54"/>
        </w:tcBorders>
      </w:tcPr>
    </w:tblStylePr>
    <w:tblStylePr w:type="band1Vert">
      <w:tblPr/>
      <w:tcPr>
        <w:tcBorders>
          <w:top w:val="single" w:sz="4" w:space="0" w:color="948A54"/>
          <w:left w:val="single" w:sz="4" w:space="0" w:color="948A54"/>
          <w:bottom w:val="single" w:sz="4" w:space="0" w:color="948A54"/>
          <w:right w:val="single" w:sz="4" w:space="0" w:color="948A54"/>
          <w:insideH w:val="single" w:sz="4" w:space="0" w:color="948A54"/>
          <w:insideV w:val="single" w:sz="4" w:space="0" w:color="948A54"/>
        </w:tcBorders>
      </w:tcPr>
    </w:tblStylePr>
    <w:tblStylePr w:type="band2Vert">
      <w:tblPr/>
      <w:tcPr>
        <w:tcBorders>
          <w:top w:val="single" w:sz="4" w:space="0" w:color="948A54"/>
          <w:left w:val="single" w:sz="4" w:space="0" w:color="948A54"/>
          <w:bottom w:val="single" w:sz="4" w:space="0" w:color="948A54"/>
          <w:right w:val="single" w:sz="4" w:space="0" w:color="948A54"/>
          <w:insideH w:val="single" w:sz="4" w:space="0" w:color="948A54"/>
          <w:insideV w:val="single" w:sz="4" w:space="0" w:color="948A54"/>
        </w:tcBorders>
      </w:tcPr>
    </w:tblStylePr>
    <w:tblStylePr w:type="band1Horz">
      <w:tblPr/>
      <w:tcPr>
        <w:tcBorders>
          <w:top w:val="single" w:sz="4" w:space="0" w:color="948A54"/>
          <w:left w:val="single" w:sz="4" w:space="0" w:color="948A54"/>
          <w:bottom w:val="single" w:sz="4" w:space="0" w:color="948A54"/>
          <w:right w:val="single" w:sz="4" w:space="0" w:color="948A54"/>
          <w:insideH w:val="single" w:sz="4" w:space="0" w:color="948A54"/>
          <w:insideV w:val="single" w:sz="4" w:space="0" w:color="948A54"/>
        </w:tcBorders>
      </w:tcPr>
    </w:tblStylePr>
    <w:tblStylePr w:type="band2Horz">
      <w:tblPr/>
      <w:tcPr>
        <w:tcBorders>
          <w:top w:val="single" w:sz="4" w:space="0" w:color="948A54"/>
          <w:left w:val="single" w:sz="4" w:space="0" w:color="948A54"/>
          <w:bottom w:val="single" w:sz="4" w:space="0" w:color="948A54"/>
          <w:right w:val="single" w:sz="4" w:space="0" w:color="948A54"/>
          <w:insideH w:val="single" w:sz="4" w:space="0" w:color="948A54"/>
          <w:insideV w:val="single" w:sz="4" w:space="0" w:color="948A54"/>
        </w:tcBorders>
      </w:tcPr>
    </w:tblStylePr>
  </w:style>
  <w:style w:type="character" w:styleId="SubtleEmphasis">
    <w:name w:val="Subtle Emphasis"/>
    <w:uiPriority w:val="19"/>
    <w:qFormat/>
    <w:rsid w:val="00EA5C5F"/>
    <w:rPr>
      <w:i/>
      <w:iCs/>
      <w:color w:val="0E1B33" w:themeColor="accent1" w:themeShade="7F"/>
    </w:rPr>
  </w:style>
  <w:style w:type="paragraph" w:customStyle="1" w:styleId="gmail-msolistparagraph">
    <w:name w:val="gmail-msolistparagraph"/>
    <w:basedOn w:val="Normal"/>
    <w:rsid w:val="00205A1C"/>
    <w:pPr>
      <w:spacing w:beforeAutospacing="1" w:afterAutospacing="1" w:line="240" w:lineRule="auto"/>
    </w:pPr>
    <w:rPr>
      <w:rFonts w:ascii="Calibri" w:eastAsiaTheme="minorHAnsi" w:hAnsi="Calibri" w:cs="Calibri"/>
      <w:color w:val="auto"/>
    </w:rPr>
  </w:style>
  <w:style w:type="paragraph" w:styleId="NormalWeb">
    <w:name w:val="Normal (Web)"/>
    <w:basedOn w:val="Normal"/>
    <w:uiPriority w:val="99"/>
    <w:semiHidden/>
    <w:unhideWhenUsed/>
    <w:rsid w:val="003352E4"/>
    <w:pPr>
      <w:spacing w:beforeAutospacing="1" w:afterAutospacing="1" w:line="240" w:lineRule="auto"/>
    </w:pPr>
    <w:rPr>
      <w:rFonts w:ascii="Times New Roman" w:eastAsia="Times New Roman" w:hAnsi="Times New Roman" w:cs="Times New Roman"/>
      <w:color w:val="auto"/>
      <w:sz w:val="24"/>
      <w:szCs w:val="24"/>
    </w:rPr>
  </w:style>
  <w:style w:type="character" w:customStyle="1" w:styleId="hgkelc">
    <w:name w:val="hgkelc"/>
    <w:basedOn w:val="DefaultParagraphFont"/>
    <w:rsid w:val="00A22B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060596">
      <w:bodyDiv w:val="1"/>
      <w:marLeft w:val="0"/>
      <w:marRight w:val="0"/>
      <w:marTop w:val="0"/>
      <w:marBottom w:val="0"/>
      <w:divBdr>
        <w:top w:val="none" w:sz="0" w:space="0" w:color="auto"/>
        <w:left w:val="none" w:sz="0" w:space="0" w:color="auto"/>
        <w:bottom w:val="none" w:sz="0" w:space="0" w:color="auto"/>
        <w:right w:val="none" w:sz="0" w:space="0" w:color="auto"/>
      </w:divBdr>
    </w:div>
    <w:div w:id="805590100">
      <w:bodyDiv w:val="1"/>
      <w:marLeft w:val="0"/>
      <w:marRight w:val="0"/>
      <w:marTop w:val="0"/>
      <w:marBottom w:val="0"/>
      <w:divBdr>
        <w:top w:val="none" w:sz="0" w:space="0" w:color="auto"/>
        <w:left w:val="none" w:sz="0" w:space="0" w:color="auto"/>
        <w:bottom w:val="none" w:sz="0" w:space="0" w:color="auto"/>
        <w:right w:val="none" w:sz="0" w:space="0" w:color="auto"/>
      </w:divBdr>
    </w:div>
    <w:div w:id="108391741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png"/><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HNW Planning">
      <a:dk1>
        <a:srgbClr val="414042"/>
      </a:dk1>
      <a:lt1>
        <a:sysClr val="window" lastClr="FFFFFF"/>
      </a:lt1>
      <a:dk2>
        <a:srgbClr val="1C3867"/>
      </a:dk2>
      <a:lt2>
        <a:srgbClr val="85754E"/>
      </a:lt2>
      <a:accent1>
        <a:srgbClr val="1C3867"/>
      </a:accent1>
      <a:accent2>
        <a:srgbClr val="85754E"/>
      </a:accent2>
      <a:accent3>
        <a:srgbClr val="BFBFBF"/>
      </a:accent3>
      <a:accent4>
        <a:srgbClr val="D8E3F4"/>
      </a:accent4>
      <a:accent5>
        <a:srgbClr val="8FAEE1"/>
      </a:accent5>
      <a:accent6>
        <a:srgbClr val="F3F1ED"/>
      </a:accent6>
      <a:hlink>
        <a:srgbClr val="414042"/>
      </a:hlink>
      <a:folHlink>
        <a:srgbClr val="414042"/>
      </a:folHlink>
    </a:clrScheme>
    <a:fontScheme name="HNW Planning">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CB7E12DB769164D9B28CF2966ED06A5" ma:contentTypeVersion="22" ma:contentTypeDescription="Create a new document." ma:contentTypeScope="" ma:versionID="3037460597eb4d87dc7af47562dc9c26">
  <xsd:schema xmlns:xsd="http://www.w3.org/2001/XMLSchema" xmlns:xs="http://www.w3.org/2001/XMLSchema" xmlns:p="http://schemas.microsoft.com/office/2006/metadata/properties" xmlns:ns1="http://schemas.microsoft.com/sharepoint/v3" xmlns:ns2="05ed5d80-5be2-462c-bec3-14caa38b63ef" xmlns:ns3="d34886c6-c96d-4e06-9b0f-8bf2e5627e94" targetNamespace="http://schemas.microsoft.com/office/2006/metadata/properties" ma:root="true" ma:fieldsID="89ba00586d30f88339b979821a5fd9e8" ns1:_="" ns2:_="" ns3:_="">
    <xsd:import namespace="http://schemas.microsoft.com/sharepoint/v3"/>
    <xsd:import namespace="05ed5d80-5be2-462c-bec3-14caa38b63ef"/>
    <xsd:import namespace="d34886c6-c96d-4e06-9b0f-8bf2e5627e9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DateTaken" minOccurs="0"/>
                <xsd:element ref="ns2:MediaLengthInSecond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1:_ip_UnifiedCompliancePolicyProperties" minOccurs="0"/>
                <xsd:element ref="ns1:_ip_UnifiedCompliancePolicyUIAc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6" nillable="true" ma:displayName="Unified Compliance Policy Properties" ma:hidden="true" ma:internalName="_ip_UnifiedCompliancePolicyProperties">
      <xsd:simpleType>
        <xsd:restriction base="dms:Note"/>
      </xsd:simpleType>
    </xsd:element>
    <xsd:element name="_ip_UnifiedCompliancePolicyUIAction" ma:index="2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ed5d80-5be2-462c-bec3-14caa38b63e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180ed09-d592-4bd7-b427-6fdad931ee6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34886c6-c96d-4e06-9b0f-8bf2e5627e94"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d3e7be3a-e7a5-4894-b300-2d15a6cac6d7}" ma:internalName="TaxCatchAll" ma:showField="CatchAllData" ma:web="d34886c6-c96d-4e06-9b0f-8bf2e5627e9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05ed5d80-5be2-462c-bec3-14caa38b63ef">
      <Terms xmlns="http://schemas.microsoft.com/office/infopath/2007/PartnerControls"/>
    </lcf76f155ced4ddcb4097134ff3c332f>
    <TaxCatchAll xmlns="d34886c6-c96d-4e06-9b0f-8bf2e5627e94" xsi:nil="true"/>
  </documentManagement>
</p:properties>
</file>

<file path=customXml/itemProps1.xml><?xml version="1.0" encoding="utf-8"?>
<ds:datastoreItem xmlns:ds="http://schemas.openxmlformats.org/officeDocument/2006/customXml" ds:itemID="{17BF8811-5734-4773-A6BB-0A01F48041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5ed5d80-5be2-462c-bec3-14caa38b63ef"/>
    <ds:schemaRef ds:uri="d34886c6-c96d-4e06-9b0f-8bf2e5627e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C1015A8-CD1F-494F-AD69-791D596A9360}">
  <ds:schemaRefs>
    <ds:schemaRef ds:uri="http://schemas.openxmlformats.org/officeDocument/2006/bibliography"/>
  </ds:schemaRefs>
</ds:datastoreItem>
</file>

<file path=customXml/itemProps3.xml><?xml version="1.0" encoding="utf-8"?>
<ds:datastoreItem xmlns:ds="http://schemas.openxmlformats.org/officeDocument/2006/customXml" ds:itemID="{23318C5E-F377-4601-B368-E1F49B30C0EE}">
  <ds:schemaRefs>
    <ds:schemaRef ds:uri="http://schemas.microsoft.com/sharepoint/v3/contenttype/forms"/>
  </ds:schemaRefs>
</ds:datastoreItem>
</file>

<file path=customXml/itemProps4.xml><?xml version="1.0" encoding="utf-8"?>
<ds:datastoreItem xmlns:ds="http://schemas.openxmlformats.org/officeDocument/2006/customXml" ds:itemID="{CFEC7535-EEFA-48B2-B4A4-8F7C3B105FAA}">
  <ds:schemaRefs>
    <ds:schemaRef ds:uri="http://schemas.microsoft.com/office/2006/metadata/properties"/>
    <ds:schemaRef ds:uri="http://schemas.microsoft.com/office/infopath/2007/PartnerControls"/>
    <ds:schemaRef ds:uri="http://schemas.microsoft.com/sharepoint/v3"/>
    <ds:schemaRef ds:uri="05ed5d80-5be2-462c-bec3-14caa38b63ef"/>
    <ds:schemaRef ds:uri="d34886c6-c96d-4e06-9b0f-8bf2e5627e94"/>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6</Pages>
  <Words>1834</Words>
  <Characters>10454</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12264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dc:creator>
  <cp:keywords/>
  <dc:description/>
  <cp:lastModifiedBy>Tanya Scarfe</cp:lastModifiedBy>
  <cp:revision>8</cp:revision>
  <cp:lastPrinted>2025-12-15T00:09:00Z</cp:lastPrinted>
  <dcterms:created xsi:type="dcterms:W3CDTF">2026-07-15T02:03:00Z</dcterms:created>
  <dcterms:modified xsi:type="dcterms:W3CDTF">2026-07-16T23:01:00Z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0x0101002CB7E12DB769164D9B28CF2966ED06A5</vt:lpwstr>
  </property>
  <property fmtid="{D5CDD505-2E9C-101B-9397-08002B2CF9AE}" pid="3" name="GrammarlyDocumentId">
    <vt:lpwstr>573f9722-ef06-4113-8916-106dd9cdea7e</vt:lpwstr>
  </property>
  <property fmtid="{D5CDD505-2E9C-101B-9397-08002B2CF9AE}" pid="4" name="MediaServiceImageTags">
    <vt:lpwstr/>
  </property>
</Properties>
</file>